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9E" w:rsidRDefault="00D66B9E" w:rsidP="00724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9E">
        <w:rPr>
          <w:rFonts w:ascii="Times New Roman" w:hAnsi="Times New Roman" w:cs="Times New Roman"/>
          <w:b/>
          <w:sz w:val="24"/>
          <w:szCs w:val="24"/>
        </w:rPr>
        <w:t>FORMULARZ  UWAG</w:t>
      </w:r>
      <w:r w:rsidR="007247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24908">
        <w:rPr>
          <w:rFonts w:ascii="Times New Roman" w:hAnsi="Times New Roman" w:cs="Times New Roman"/>
          <w:b/>
          <w:sz w:val="24"/>
          <w:szCs w:val="24"/>
        </w:rPr>
        <w:t>planu komunikacji</w:t>
      </w:r>
    </w:p>
    <w:tbl>
      <w:tblPr>
        <w:tblStyle w:val="Tabela-Siatka"/>
        <w:tblW w:w="14567" w:type="dxa"/>
        <w:tblLook w:val="04A0"/>
      </w:tblPr>
      <w:tblGrid>
        <w:gridCol w:w="4361"/>
        <w:gridCol w:w="1701"/>
        <w:gridCol w:w="5812"/>
        <w:gridCol w:w="2693"/>
      </w:tblGrid>
      <w:tr w:rsidR="00724768" w:rsidTr="00724768">
        <w:trPr>
          <w:trHeight w:val="426"/>
        </w:trPr>
        <w:tc>
          <w:tcPr>
            <w:tcW w:w="6062" w:type="dxa"/>
            <w:gridSpan w:val="2"/>
            <w:shd w:val="clear" w:color="auto" w:fill="B6DDE8" w:themeFill="accent5" w:themeFillTint="66"/>
            <w:vAlign w:val="center"/>
          </w:tcPr>
          <w:p w:rsidR="00724768" w:rsidRPr="00FF33C8" w:rsidRDefault="00724768" w:rsidP="0072476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1. </w:t>
            </w:r>
            <w:r w:rsidRPr="00FF33C8">
              <w:rPr>
                <w:rFonts w:ascii="Times New Roman" w:hAnsi="Times New Roman" w:cs="Times New Roman"/>
                <w:b/>
                <w:color w:val="000000" w:themeColor="text1"/>
              </w:rPr>
              <w:t>Obecny zapis</w:t>
            </w:r>
          </w:p>
        </w:tc>
        <w:tc>
          <w:tcPr>
            <w:tcW w:w="5812" w:type="dxa"/>
            <w:shd w:val="clear" w:color="auto" w:fill="B6DDE8" w:themeFill="accent5" w:themeFillTint="66"/>
            <w:vAlign w:val="center"/>
          </w:tcPr>
          <w:p w:rsidR="00724768" w:rsidRPr="00FF33C8" w:rsidRDefault="00724768" w:rsidP="0072476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2. </w:t>
            </w:r>
            <w:r w:rsidRPr="00FF33C8">
              <w:rPr>
                <w:rFonts w:ascii="Times New Roman" w:hAnsi="Times New Roman" w:cs="Times New Roman"/>
                <w:b/>
                <w:color w:val="000000" w:themeColor="text1"/>
              </w:rPr>
              <w:t>Proponowany zapis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724768" w:rsidRPr="00FF33C8" w:rsidRDefault="00724768" w:rsidP="0072476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3. </w:t>
            </w:r>
            <w:r w:rsidRPr="00FF33C8">
              <w:rPr>
                <w:rFonts w:ascii="Times New Roman" w:hAnsi="Times New Roman" w:cs="Times New Roman"/>
                <w:b/>
                <w:color w:val="000000" w:themeColor="text1"/>
              </w:rPr>
              <w:t>Uzasadnienie zmiany</w:t>
            </w:r>
          </w:p>
        </w:tc>
      </w:tr>
      <w:tr w:rsidR="00724768" w:rsidTr="00724768">
        <w:trPr>
          <w:trHeight w:val="541"/>
        </w:trPr>
        <w:tc>
          <w:tcPr>
            <w:tcW w:w="6062" w:type="dxa"/>
            <w:gridSpan w:val="2"/>
            <w:shd w:val="clear" w:color="auto" w:fill="DAEEF3" w:themeFill="accent5" w:themeFillTint="33"/>
            <w:vAlign w:val="center"/>
          </w:tcPr>
          <w:p w:rsidR="00724768" w:rsidRDefault="00724768" w:rsidP="00A201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:rsidR="00724768" w:rsidRDefault="00724768" w:rsidP="00A201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724768" w:rsidRDefault="00724768" w:rsidP="00A201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4768" w:rsidTr="00724768">
        <w:trPr>
          <w:trHeight w:val="563"/>
        </w:trPr>
        <w:tc>
          <w:tcPr>
            <w:tcW w:w="6062" w:type="dxa"/>
            <w:gridSpan w:val="2"/>
            <w:shd w:val="clear" w:color="auto" w:fill="DAEEF3" w:themeFill="accent5" w:themeFillTint="33"/>
            <w:vAlign w:val="center"/>
          </w:tcPr>
          <w:p w:rsidR="00724768" w:rsidRDefault="00724768" w:rsidP="00A201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:rsidR="00724768" w:rsidRDefault="00724768" w:rsidP="00A201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724768" w:rsidRDefault="00724768" w:rsidP="00A201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3C8" w:rsidTr="00FF33C8">
        <w:trPr>
          <w:trHeight w:val="426"/>
        </w:trPr>
        <w:tc>
          <w:tcPr>
            <w:tcW w:w="14567" w:type="dxa"/>
            <w:gridSpan w:val="4"/>
            <w:shd w:val="clear" w:color="auto" w:fill="B6DDE8" w:themeFill="accent5" w:themeFillTint="66"/>
            <w:vAlign w:val="center"/>
          </w:tcPr>
          <w:p w:rsidR="00FF33C8" w:rsidRPr="00FF33C8" w:rsidRDefault="00724768" w:rsidP="00FF33C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FF33C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FF33C8" w:rsidRPr="00FF33C8">
              <w:rPr>
                <w:rFonts w:ascii="Times New Roman" w:hAnsi="Times New Roman" w:cs="Times New Roman"/>
                <w:b/>
                <w:color w:val="000000" w:themeColor="text1"/>
              </w:rPr>
              <w:t>Dane osoby składającej wniosek</w:t>
            </w:r>
          </w:p>
        </w:tc>
      </w:tr>
      <w:tr w:rsidR="00FF33C8" w:rsidTr="00FF33C8">
        <w:trPr>
          <w:trHeight w:val="393"/>
        </w:trPr>
        <w:tc>
          <w:tcPr>
            <w:tcW w:w="4361" w:type="dxa"/>
            <w:shd w:val="clear" w:color="auto" w:fill="B6DDE8" w:themeFill="accent5" w:themeFillTint="66"/>
            <w:vAlign w:val="center"/>
          </w:tcPr>
          <w:p w:rsidR="00FF33C8" w:rsidRPr="00FF33C8" w:rsidRDefault="00724768" w:rsidP="00FF33C8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FF33C8">
              <w:rPr>
                <w:rFonts w:ascii="Times New Roman" w:hAnsi="Times New Roman" w:cs="Times New Roman"/>
                <w:b/>
                <w:color w:val="000000" w:themeColor="text1"/>
              </w:rPr>
              <w:t xml:space="preserve">.1. </w:t>
            </w:r>
            <w:r w:rsidR="00FF33C8" w:rsidRPr="00FF33C8">
              <w:rPr>
                <w:rFonts w:ascii="Times New Roman" w:hAnsi="Times New Roman" w:cs="Times New Roman"/>
                <w:b/>
                <w:color w:val="000000" w:themeColor="text1"/>
              </w:rPr>
              <w:t>Imię i nazwisko</w:t>
            </w:r>
          </w:p>
        </w:tc>
        <w:tc>
          <w:tcPr>
            <w:tcW w:w="10206" w:type="dxa"/>
            <w:gridSpan w:val="3"/>
            <w:shd w:val="clear" w:color="auto" w:fill="DAEEF3" w:themeFill="accent5" w:themeFillTint="33"/>
            <w:vAlign w:val="center"/>
          </w:tcPr>
          <w:p w:rsidR="00FF33C8" w:rsidRDefault="00FF33C8" w:rsidP="00A201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3C8" w:rsidTr="00FF33C8">
        <w:trPr>
          <w:trHeight w:val="412"/>
        </w:trPr>
        <w:tc>
          <w:tcPr>
            <w:tcW w:w="4361" w:type="dxa"/>
            <w:shd w:val="clear" w:color="auto" w:fill="B6DDE8" w:themeFill="accent5" w:themeFillTint="66"/>
            <w:vAlign w:val="center"/>
          </w:tcPr>
          <w:p w:rsidR="00FF33C8" w:rsidRPr="00FF33C8" w:rsidRDefault="00724768" w:rsidP="00FF33C8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FF33C8">
              <w:rPr>
                <w:rFonts w:ascii="Times New Roman" w:hAnsi="Times New Roman" w:cs="Times New Roman"/>
                <w:b/>
                <w:color w:val="000000" w:themeColor="text1"/>
              </w:rPr>
              <w:t xml:space="preserve">.2. </w:t>
            </w:r>
            <w:r w:rsidR="00FF33C8" w:rsidRPr="00FF33C8">
              <w:rPr>
                <w:rFonts w:ascii="Times New Roman" w:hAnsi="Times New Roman" w:cs="Times New Roman"/>
                <w:b/>
                <w:color w:val="000000" w:themeColor="text1"/>
              </w:rPr>
              <w:t>Funkcja pełniona w LGD</w:t>
            </w:r>
            <w:r w:rsidR="00FF33C8" w:rsidRPr="00FF33C8">
              <w:rPr>
                <w:rFonts w:ascii="Times New Roman" w:hAnsi="Times New Roman" w:cs="Times New Roman"/>
                <w:color w:val="000000" w:themeColor="text1"/>
              </w:rPr>
              <w:t xml:space="preserve"> (o ile dotyczy)</w:t>
            </w:r>
          </w:p>
        </w:tc>
        <w:tc>
          <w:tcPr>
            <w:tcW w:w="10206" w:type="dxa"/>
            <w:gridSpan w:val="3"/>
            <w:shd w:val="clear" w:color="auto" w:fill="DAEEF3" w:themeFill="accent5" w:themeFillTint="33"/>
            <w:vAlign w:val="center"/>
          </w:tcPr>
          <w:p w:rsidR="00FF33C8" w:rsidRDefault="00FF33C8" w:rsidP="00A201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3C8" w:rsidTr="00FF33C8">
        <w:trPr>
          <w:trHeight w:val="412"/>
        </w:trPr>
        <w:tc>
          <w:tcPr>
            <w:tcW w:w="4361" w:type="dxa"/>
            <w:shd w:val="clear" w:color="auto" w:fill="B6DDE8" w:themeFill="accent5" w:themeFillTint="66"/>
            <w:vAlign w:val="center"/>
          </w:tcPr>
          <w:p w:rsidR="00FF33C8" w:rsidRPr="00724768" w:rsidRDefault="00FF33C8" w:rsidP="00724768">
            <w:pPr>
              <w:pStyle w:val="Akapitzlist"/>
              <w:numPr>
                <w:ilvl w:val="1"/>
                <w:numId w:val="6"/>
              </w:numPr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768">
              <w:rPr>
                <w:rFonts w:ascii="Times New Roman" w:hAnsi="Times New Roman" w:cs="Times New Roman"/>
                <w:b/>
                <w:color w:val="000000" w:themeColor="text1"/>
              </w:rPr>
              <w:t xml:space="preserve">Nazwa reprezentowanego podmiotu </w:t>
            </w:r>
            <w:r w:rsidRPr="00724768">
              <w:rPr>
                <w:rFonts w:ascii="Times New Roman" w:hAnsi="Times New Roman" w:cs="Times New Roman"/>
                <w:color w:val="000000" w:themeColor="text1"/>
              </w:rPr>
              <w:t>(o ile dotyczy)</w:t>
            </w:r>
          </w:p>
        </w:tc>
        <w:tc>
          <w:tcPr>
            <w:tcW w:w="10206" w:type="dxa"/>
            <w:gridSpan w:val="3"/>
            <w:shd w:val="clear" w:color="auto" w:fill="DAEEF3" w:themeFill="accent5" w:themeFillTint="33"/>
            <w:vAlign w:val="center"/>
          </w:tcPr>
          <w:p w:rsidR="00FF33C8" w:rsidRDefault="00FF33C8" w:rsidP="00A201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3C8" w:rsidTr="00FF33C8">
        <w:trPr>
          <w:trHeight w:val="412"/>
        </w:trPr>
        <w:tc>
          <w:tcPr>
            <w:tcW w:w="4361" w:type="dxa"/>
            <w:shd w:val="clear" w:color="auto" w:fill="B6DDE8" w:themeFill="accent5" w:themeFillTint="66"/>
            <w:vAlign w:val="center"/>
          </w:tcPr>
          <w:p w:rsidR="00FF33C8" w:rsidRPr="00724768" w:rsidRDefault="00FF33C8" w:rsidP="00724768">
            <w:pPr>
              <w:pStyle w:val="Akapitzlist"/>
              <w:numPr>
                <w:ilvl w:val="1"/>
                <w:numId w:val="6"/>
              </w:numPr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768">
              <w:rPr>
                <w:rFonts w:ascii="Times New Roman" w:hAnsi="Times New Roman" w:cs="Times New Roman"/>
                <w:b/>
                <w:color w:val="000000" w:themeColor="text1"/>
              </w:rPr>
              <w:t>Dane kontaktowe (adres, telefon, email)</w:t>
            </w:r>
          </w:p>
        </w:tc>
        <w:tc>
          <w:tcPr>
            <w:tcW w:w="10206" w:type="dxa"/>
            <w:gridSpan w:val="3"/>
            <w:shd w:val="clear" w:color="auto" w:fill="DAEEF3" w:themeFill="accent5" w:themeFillTint="33"/>
            <w:vAlign w:val="center"/>
          </w:tcPr>
          <w:p w:rsidR="00FF33C8" w:rsidRDefault="00FF33C8" w:rsidP="00A201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3C8" w:rsidTr="00FF33C8">
        <w:trPr>
          <w:trHeight w:val="412"/>
        </w:trPr>
        <w:tc>
          <w:tcPr>
            <w:tcW w:w="14567" w:type="dxa"/>
            <w:gridSpan w:val="4"/>
            <w:shd w:val="clear" w:color="auto" w:fill="B6DDE8" w:themeFill="accent5" w:themeFillTint="66"/>
            <w:vAlign w:val="center"/>
          </w:tcPr>
          <w:p w:rsidR="00FF33C8" w:rsidRDefault="00FF33C8" w:rsidP="00A20166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Uwaga!</w:t>
            </w:r>
          </w:p>
          <w:p w:rsidR="00FF33C8" w:rsidRPr="00C62F08" w:rsidRDefault="00FF33C8" w:rsidP="00C62F08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C62F08">
              <w:rPr>
                <w:rFonts w:ascii="Times New Roman" w:hAnsi="Times New Roman" w:cs="Times New Roman"/>
                <w:color w:val="000000" w:themeColor="text1"/>
              </w:rPr>
              <w:t>Zgłaszanie uwag następuje poprzez wypełnienie i przekazanie do LGD (drogą dowolną) powyższego Formularza uwag.</w:t>
            </w:r>
          </w:p>
          <w:p w:rsidR="00FF33C8" w:rsidRPr="00C62F08" w:rsidRDefault="00724768" w:rsidP="00C62F08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Niewypełnienie punku 4</w:t>
            </w:r>
            <w:r w:rsidR="00FF33C8">
              <w:rPr>
                <w:rFonts w:ascii="Times New Roman" w:hAnsi="Times New Roman" w:cs="Times New Roman"/>
                <w:color w:val="000000" w:themeColor="text1"/>
              </w:rPr>
              <w:t xml:space="preserve"> będzie skutkować odrzuceniem proponowanych zmian.</w:t>
            </w:r>
          </w:p>
          <w:p w:rsidR="00FF33C8" w:rsidRDefault="00FF33C8" w:rsidP="00A20166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24908" w:rsidRDefault="00B24908" w:rsidP="00B24908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B24908" w:rsidRDefault="00B24908" w:rsidP="00B24908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405252">
        <w:rPr>
          <w:rFonts w:ascii="Times New Roman" w:hAnsi="Times New Roman" w:cs="Times New Roman"/>
          <w:b/>
          <w:color w:val="000000" w:themeColor="text1"/>
        </w:rPr>
        <w:t>PLAN KOMUNIKACJI</w:t>
      </w:r>
    </w:p>
    <w:p w:rsidR="00B24908" w:rsidRPr="00D61509" w:rsidRDefault="00B24908" w:rsidP="00B24908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D61509">
        <w:rPr>
          <w:rFonts w:ascii="Times New Roman" w:hAnsi="Times New Roman" w:cs="Times New Roman"/>
          <w:b/>
          <w:color w:val="000000" w:themeColor="text1"/>
        </w:rPr>
        <w:t xml:space="preserve">Cel opracowania planu komunikacji. </w:t>
      </w:r>
      <w:r w:rsidRPr="00D61509">
        <w:rPr>
          <w:rFonts w:ascii="Times New Roman" w:hAnsi="Times New Roman" w:cs="Times New Roman"/>
          <w:color w:val="000000" w:themeColor="text1"/>
        </w:rPr>
        <w:t>Celem planu komunikacji jest zapewnienie obustronnej komunikacji pomiędzy LGD a społecznością lokalną w całym procesie wdrażania Lokalnej Strategii Rozwoju, pobudzenie współpracy,  aktywności społecznej i kreowanie liderów, dzięki którym będzie możliwy rozwój obszaru i realizacja zaplanowanych celów. Plan komunikacji ma gwarantować przejrzystość działań podejmowanych przez LGD.</w:t>
      </w:r>
    </w:p>
    <w:p w:rsidR="00B24908" w:rsidRDefault="00B24908" w:rsidP="00B24908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Założenia ogólne planu komunikacji. </w:t>
      </w:r>
      <w:r w:rsidRPr="00B40527">
        <w:rPr>
          <w:rFonts w:ascii="Times New Roman" w:hAnsi="Times New Roman" w:cs="Times New Roman"/>
          <w:color w:val="000000" w:themeColor="text1"/>
        </w:rPr>
        <w:t>Plan komunikacji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określa cele, </w:t>
      </w:r>
      <w:proofErr w:type="spellStart"/>
      <w:r>
        <w:rPr>
          <w:rFonts w:ascii="Times New Roman" w:hAnsi="Times New Roman" w:cs="Times New Roman"/>
          <w:color w:val="000000" w:themeColor="text1"/>
        </w:rPr>
        <w:t>działania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komunikacyjne i środki przekazu (narzędzia) używane w procesie przekazywania informacji społeczności lokalnej, które będą stosowane przez LGD na każdym etapie wdrażania LSR. Ponadto określa planowane efekty działań komunikacyjnych oraz sposób </w:t>
      </w:r>
      <w:proofErr w:type="spellStart"/>
      <w:r>
        <w:rPr>
          <w:rFonts w:ascii="Times New Roman" w:hAnsi="Times New Roman" w:cs="Times New Roman"/>
          <w:color w:val="000000" w:themeColor="text1"/>
        </w:rPr>
        <w:t>badania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ich skuteczności, sposób wykorzystania wniosków uzyskanych od lokalnej społeczności i budżet przewidziany na realizację planu komunikacji. </w:t>
      </w:r>
    </w:p>
    <w:p w:rsidR="00B24908" w:rsidRPr="004D6758" w:rsidRDefault="00B24908" w:rsidP="00B24908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</w:t>
      </w:r>
      <w:r w:rsidRPr="000D0635">
        <w:rPr>
          <w:rFonts w:ascii="Times New Roman" w:hAnsi="Times New Roman" w:cs="Times New Roman"/>
          <w:b/>
          <w:color w:val="000000" w:themeColor="text1"/>
        </w:rPr>
        <w:t>ele działań komunikacyjnych.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40F2D">
        <w:rPr>
          <w:rFonts w:ascii="Times New Roman" w:hAnsi="Times New Roman" w:cs="Times New Roman"/>
          <w:color w:val="000000" w:themeColor="text1"/>
        </w:rPr>
        <w:t>Do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głównych celów działań komunikacyjnych podejmowanych przez LGD będzie należało: </w:t>
      </w:r>
    </w:p>
    <w:p w:rsidR="00B24908" w:rsidRDefault="00B24908" w:rsidP="00B24908">
      <w:pPr>
        <w:pStyle w:val="Akapitzlist"/>
        <w:numPr>
          <w:ilvl w:val="0"/>
          <w:numId w:val="17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D6758">
        <w:rPr>
          <w:rFonts w:ascii="Times New Roman" w:hAnsi="Times New Roman" w:cs="Times New Roman"/>
          <w:color w:val="000000" w:themeColor="text1"/>
        </w:rPr>
        <w:lastRenderedPageBreak/>
        <w:t>bieżące informowanie mieszkańców obszaru LGD o LSR (jej celach, stopniu realizacji LSR, wprowadzonych zmianach w treści dokumentu) i inicjatywach podejmowanych przez LGD,</w:t>
      </w:r>
    </w:p>
    <w:p w:rsidR="00B24908" w:rsidRDefault="00B24908" w:rsidP="00B24908">
      <w:pPr>
        <w:pStyle w:val="Akapitzlist"/>
        <w:numPr>
          <w:ilvl w:val="0"/>
          <w:numId w:val="17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D6758">
        <w:rPr>
          <w:rFonts w:ascii="Times New Roman" w:hAnsi="Times New Roman" w:cs="Times New Roman"/>
          <w:color w:val="000000" w:themeColor="text1"/>
        </w:rPr>
        <w:t xml:space="preserve">informowanie o ogłaszanych konkursach i ich wynikach, zasadach przyznawania pomocy w ramach poszczególnych typów projektów, </w:t>
      </w:r>
      <w:r>
        <w:rPr>
          <w:rFonts w:ascii="Times New Roman" w:hAnsi="Times New Roman" w:cs="Times New Roman"/>
          <w:color w:val="000000" w:themeColor="text1"/>
        </w:rPr>
        <w:t>zasadach rozliczania i realizacji operacji,</w:t>
      </w:r>
    </w:p>
    <w:p w:rsidR="00B24908" w:rsidRDefault="00B24908" w:rsidP="00B24908">
      <w:pPr>
        <w:pStyle w:val="Akapitzlist"/>
        <w:numPr>
          <w:ilvl w:val="0"/>
          <w:numId w:val="17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D6758">
        <w:rPr>
          <w:rFonts w:ascii="Times New Roman" w:hAnsi="Times New Roman" w:cs="Times New Roman"/>
          <w:color w:val="000000" w:themeColor="text1"/>
        </w:rPr>
        <w:t xml:space="preserve">aktywizowanie lokalnej społeczności i zachęcanie jej do współrealizacji LSR, </w:t>
      </w:r>
    </w:p>
    <w:p w:rsidR="00B24908" w:rsidRDefault="00B24908" w:rsidP="00B24908">
      <w:pPr>
        <w:pStyle w:val="Akapitzlist"/>
        <w:numPr>
          <w:ilvl w:val="0"/>
          <w:numId w:val="17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promowanie</w:t>
      </w:r>
      <w:r w:rsidRPr="004D6758">
        <w:rPr>
          <w:rFonts w:ascii="Times New Roman" w:hAnsi="Times New Roman" w:cs="Times New Roman"/>
          <w:color w:val="000000" w:themeColor="text1"/>
        </w:rPr>
        <w:t xml:space="preserve"> dobrych praktyk wnioskodawców, realizującyc</w:t>
      </w:r>
      <w:r>
        <w:rPr>
          <w:rFonts w:ascii="Times New Roman" w:hAnsi="Times New Roman" w:cs="Times New Roman"/>
          <w:color w:val="000000" w:themeColor="text1"/>
        </w:rPr>
        <w:t>h projekty za pośrednictwem LGD</w:t>
      </w:r>
      <w:r w:rsidRPr="004D6758">
        <w:rPr>
          <w:rFonts w:ascii="Times New Roman" w:hAnsi="Times New Roman" w:cs="Times New Roman"/>
          <w:color w:val="000000" w:themeColor="text1"/>
        </w:rPr>
        <w:t xml:space="preserve"> i innych organizacji w tym także spoza obszaru objętego LSR</w:t>
      </w:r>
      <w:r>
        <w:rPr>
          <w:rFonts w:ascii="Times New Roman" w:hAnsi="Times New Roman" w:cs="Times New Roman"/>
          <w:color w:val="000000" w:themeColor="text1"/>
        </w:rPr>
        <w:t>,</w:t>
      </w:r>
    </w:p>
    <w:p w:rsidR="00B24908" w:rsidRDefault="00B24908" w:rsidP="00B24908">
      <w:pPr>
        <w:pStyle w:val="Akapitzlist"/>
        <w:numPr>
          <w:ilvl w:val="0"/>
          <w:numId w:val="17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poznanie opinii o jakości działań podejmowanych przez LGD i usług doradczych świadczonych przez pracowników biura,</w:t>
      </w:r>
    </w:p>
    <w:p w:rsidR="00B24908" w:rsidRPr="00993D93" w:rsidRDefault="00B24908" w:rsidP="00B24908">
      <w:pPr>
        <w:pStyle w:val="Akapitzlist"/>
        <w:numPr>
          <w:ilvl w:val="0"/>
          <w:numId w:val="17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tworzenie pozytywnego i profesjonalnego wizerunku LGD.</w:t>
      </w:r>
    </w:p>
    <w:p w:rsidR="00B24908" w:rsidRDefault="00B24908" w:rsidP="00B24908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Rodzaje działań komunikacyjnych i środki przekazu. </w:t>
      </w:r>
      <w:r>
        <w:rPr>
          <w:rFonts w:ascii="Times New Roman" w:hAnsi="Times New Roman" w:cs="Times New Roman"/>
          <w:color w:val="000000" w:themeColor="text1"/>
        </w:rPr>
        <w:t>W celu zapewnienia jak najskuteczniejszego odbioru przekazywanych treści, LGD oprze się głównie na dotychczas stosowanych efektywnych działaniach komunikacyjnych oraz na metodach komunikacji wskazanych przez mieszkańców podczas konsultacji społecznych. Ciągłość i powtarzalność zaplanowanych do realizacji działań komunikacyjnych zapewni utrzymanie mobilizacji społecznej w całym procesie wdrażania LSR. Działania komunikacyjne i środki przekazu są dostosowane do poszczególnych grup odbiorców i realizują cele komunikacyjne zaś przekazywane treści będą czytelne i fachowe. Do działań komunikacyjnych stosowanych w opracowanym planie należą:</w:t>
      </w:r>
    </w:p>
    <w:p w:rsidR="00B24908" w:rsidRPr="00D327E2" w:rsidRDefault="00B24908" w:rsidP="00B24908">
      <w:pPr>
        <w:pStyle w:val="Akapitzlist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kampanie informacyjno-promocyjne</w:t>
      </w:r>
      <w:r>
        <w:rPr>
          <w:rFonts w:ascii="Times New Roman" w:hAnsi="Times New Roman" w:cs="Times New Roman"/>
          <w:color w:val="000000" w:themeColor="text1"/>
        </w:rPr>
        <w:t xml:space="preserve">, realizowane za pomocą następujących środków przekazu: ogłoszeń i artykułów </w:t>
      </w:r>
      <w:r w:rsidRPr="00D327E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 </w:t>
      </w:r>
      <w:r w:rsidRPr="00D327E2">
        <w:rPr>
          <w:rFonts w:ascii="Times New Roman" w:hAnsi="Times New Roman" w:cs="Times New Roman"/>
        </w:rPr>
        <w:t>stronach</w:t>
      </w:r>
      <w:r w:rsidRPr="00D327E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internetowych LGD i jej kluczowych partnerów; poradnika beneficjenta na stronie internetowej Stowarzyszenia; </w:t>
      </w:r>
      <w:proofErr w:type="spellStart"/>
      <w:r>
        <w:rPr>
          <w:rFonts w:ascii="Times New Roman" w:hAnsi="Times New Roman" w:cs="Times New Roman"/>
          <w:color w:val="000000" w:themeColor="text1"/>
        </w:rPr>
        <w:t>Newslettera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wysyłanego drogą mailową; informacją w formie plakatu zamieszczaną na tablicach ogłoszeń w kluczowych instytucjach; spotkań informacyjnych w gminach członkowskich LGD; ulotek/broszur informacyjnych; ogłoszeń/artykułów w prasie lokalnej; portali </w:t>
      </w:r>
      <w:proofErr w:type="spellStart"/>
      <w:r>
        <w:rPr>
          <w:rFonts w:ascii="Times New Roman" w:hAnsi="Times New Roman" w:cs="Times New Roman"/>
          <w:color w:val="000000" w:themeColor="text1"/>
        </w:rPr>
        <w:t>społecznościowych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; wydarzeń promocyjnych i aktywizacyjnych; wiadomości mailowych wysyłanych do osób z listy mailingowej Stowarzyszenia, doradztwa w Biurze LGD. </w:t>
      </w:r>
    </w:p>
    <w:p w:rsidR="00B24908" w:rsidRDefault="00B24908" w:rsidP="00B24908">
      <w:pPr>
        <w:pStyle w:val="Akapitzlist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Kampanie informacyjno-promocyjne będą realizowały następujące cele komunikacyjne: </w:t>
      </w:r>
      <w:r w:rsidRPr="004D6758">
        <w:rPr>
          <w:rFonts w:ascii="Times New Roman" w:hAnsi="Times New Roman" w:cs="Times New Roman"/>
          <w:color w:val="000000" w:themeColor="text1"/>
        </w:rPr>
        <w:t>bieżące informowanie mieszkańców obszaru LGD o LSR (jej celach, stopniu realizacji LSR, wprowadzonych zmianach w treści dokumentu) i inicjatywach podejmowanych przez LG</w:t>
      </w:r>
      <w:r>
        <w:rPr>
          <w:rFonts w:ascii="Times New Roman" w:hAnsi="Times New Roman" w:cs="Times New Roman"/>
          <w:color w:val="000000" w:themeColor="text1"/>
        </w:rPr>
        <w:t>D;</w:t>
      </w:r>
      <w:r w:rsidRPr="00D327E2">
        <w:rPr>
          <w:rFonts w:ascii="Times New Roman" w:hAnsi="Times New Roman" w:cs="Times New Roman"/>
          <w:color w:val="000000" w:themeColor="text1"/>
        </w:rPr>
        <w:t xml:space="preserve"> </w:t>
      </w:r>
      <w:r w:rsidRPr="004D6758">
        <w:rPr>
          <w:rFonts w:ascii="Times New Roman" w:hAnsi="Times New Roman" w:cs="Times New Roman"/>
          <w:color w:val="000000" w:themeColor="text1"/>
        </w:rPr>
        <w:t>informowanie o ogłasz</w:t>
      </w:r>
      <w:r>
        <w:rPr>
          <w:rFonts w:ascii="Times New Roman" w:hAnsi="Times New Roman" w:cs="Times New Roman"/>
          <w:color w:val="000000" w:themeColor="text1"/>
        </w:rPr>
        <w:t>anych konkursach i ich wynikach;</w:t>
      </w:r>
      <w:r w:rsidRPr="004D6758">
        <w:rPr>
          <w:rFonts w:ascii="Times New Roman" w:hAnsi="Times New Roman" w:cs="Times New Roman"/>
          <w:color w:val="000000" w:themeColor="text1"/>
        </w:rPr>
        <w:t xml:space="preserve"> aktywizowanie lokalnej społeczności i zachęc</w:t>
      </w:r>
      <w:r>
        <w:rPr>
          <w:rFonts w:ascii="Times New Roman" w:hAnsi="Times New Roman" w:cs="Times New Roman"/>
          <w:color w:val="000000" w:themeColor="text1"/>
        </w:rPr>
        <w:t>anie jej do współrealizacji LSR;</w:t>
      </w:r>
      <w:r w:rsidRPr="004D6758">
        <w:rPr>
          <w:rFonts w:ascii="Times New Roman" w:hAnsi="Times New Roman" w:cs="Times New Roman"/>
          <w:color w:val="000000" w:themeColor="text1"/>
        </w:rPr>
        <w:t xml:space="preserve"> </w:t>
      </w:r>
      <w:r w:rsidRPr="002D7711">
        <w:rPr>
          <w:rFonts w:ascii="Times New Roman" w:hAnsi="Times New Roman" w:cs="Times New Roman"/>
          <w:color w:val="000000" w:themeColor="text1"/>
        </w:rPr>
        <w:t xml:space="preserve">promowanie dobrych praktyk wnioskodawców, realizujących </w:t>
      </w:r>
      <w:r>
        <w:rPr>
          <w:rFonts w:ascii="Times New Roman" w:hAnsi="Times New Roman" w:cs="Times New Roman"/>
          <w:color w:val="000000" w:themeColor="text1"/>
        </w:rPr>
        <w:t>projekty za pośrednictwem LGD i </w:t>
      </w:r>
      <w:r w:rsidRPr="002D7711">
        <w:rPr>
          <w:rFonts w:ascii="Times New Roman" w:hAnsi="Times New Roman" w:cs="Times New Roman"/>
          <w:color w:val="000000" w:themeColor="text1"/>
        </w:rPr>
        <w:t>innych organizacji w tym także spoza obszaru objętego LSR,</w:t>
      </w:r>
    </w:p>
    <w:p w:rsidR="00B24908" w:rsidRPr="00CB58E1" w:rsidRDefault="00B24908" w:rsidP="00B24908">
      <w:pPr>
        <w:pStyle w:val="Akapitzlist"/>
        <w:numPr>
          <w:ilvl w:val="0"/>
          <w:numId w:val="17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CB58E1">
        <w:rPr>
          <w:rFonts w:ascii="Times New Roman" w:hAnsi="Times New Roman" w:cs="Times New Roman"/>
          <w:b/>
          <w:color w:val="000000" w:themeColor="text1"/>
        </w:rPr>
        <w:t>warsztaty tematyczne</w:t>
      </w:r>
      <w:r>
        <w:rPr>
          <w:rFonts w:ascii="Times New Roman" w:hAnsi="Times New Roman" w:cs="Times New Roman"/>
          <w:color w:val="000000" w:themeColor="text1"/>
        </w:rPr>
        <w:t>, podczas których jako środki przekazu zostaną zastosowane prezentacje i materiały szkoleniowe.</w:t>
      </w:r>
      <w:r w:rsidRPr="00CB58E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Warsztaty będą realizowały cele: informowanie o </w:t>
      </w:r>
      <w:r w:rsidRPr="004D6758">
        <w:rPr>
          <w:rFonts w:ascii="Times New Roman" w:hAnsi="Times New Roman" w:cs="Times New Roman"/>
          <w:color w:val="000000" w:themeColor="text1"/>
        </w:rPr>
        <w:t>zasadach przyznawania pomocy w ramach poszczególnych typów projektó</w:t>
      </w:r>
      <w:r>
        <w:rPr>
          <w:rFonts w:ascii="Times New Roman" w:hAnsi="Times New Roman" w:cs="Times New Roman"/>
          <w:color w:val="000000" w:themeColor="text1"/>
        </w:rPr>
        <w:t>w,</w:t>
      </w:r>
      <w:r w:rsidRPr="002D77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zasadach rozliczania i realizacji operacji; </w:t>
      </w:r>
      <w:r w:rsidRPr="009A0550">
        <w:rPr>
          <w:rFonts w:ascii="Times New Roman" w:hAnsi="Times New Roman" w:cs="Times New Roman"/>
          <w:color w:val="000000" w:themeColor="text1"/>
        </w:rPr>
        <w:t>aktywizowanie lokalnej s</w:t>
      </w:r>
      <w:r>
        <w:rPr>
          <w:rFonts w:ascii="Times New Roman" w:hAnsi="Times New Roman" w:cs="Times New Roman"/>
          <w:color w:val="000000" w:themeColor="text1"/>
        </w:rPr>
        <w:t>połeczności i zachęcanie jej do </w:t>
      </w:r>
      <w:r w:rsidRPr="009A0550">
        <w:rPr>
          <w:rFonts w:ascii="Times New Roman" w:hAnsi="Times New Roman" w:cs="Times New Roman"/>
          <w:color w:val="000000" w:themeColor="text1"/>
        </w:rPr>
        <w:t>współrealizacji LSR</w:t>
      </w:r>
      <w:r>
        <w:rPr>
          <w:rFonts w:ascii="Times New Roman" w:hAnsi="Times New Roman" w:cs="Times New Roman"/>
          <w:color w:val="000000" w:themeColor="text1"/>
        </w:rPr>
        <w:t>; poznanie opinii o jakości działań podejmowanych przez LGD i usług doradczych świadczonych przez pracowników biura.</w:t>
      </w:r>
    </w:p>
    <w:p w:rsidR="00B24908" w:rsidRDefault="00B24908" w:rsidP="00B24908">
      <w:pPr>
        <w:pStyle w:val="Akapitzlist"/>
        <w:numPr>
          <w:ilvl w:val="0"/>
          <w:numId w:val="17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054E6E">
        <w:rPr>
          <w:rFonts w:ascii="Times New Roman" w:hAnsi="Times New Roman" w:cs="Times New Roman"/>
          <w:b/>
          <w:color w:val="000000" w:themeColor="text1"/>
        </w:rPr>
        <w:t>b</w:t>
      </w:r>
      <w:r>
        <w:rPr>
          <w:rFonts w:ascii="Times New Roman" w:hAnsi="Times New Roman" w:cs="Times New Roman"/>
          <w:b/>
          <w:color w:val="000000" w:themeColor="text1"/>
        </w:rPr>
        <w:t>adania</w:t>
      </w:r>
      <w:proofErr w:type="spellEnd"/>
      <w:r w:rsidRPr="00054E6E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satysfakcji i jakości</w:t>
      </w:r>
      <w:r>
        <w:rPr>
          <w:rFonts w:ascii="Times New Roman" w:hAnsi="Times New Roman" w:cs="Times New Roman"/>
          <w:color w:val="000000" w:themeColor="text1"/>
        </w:rPr>
        <w:t>, realizowane za pomocą środków przekazu jakimi są: ankiety wypełniane przez wnioskodawców i beneficjentów po udzielonym doradztwie, ankiety elektroniczne wysyłane do beneficjentów poszczególnych typów operacji i kluczowych partnerów, ankiety wypełnianie przez uczestników szkoleń i innych wydarzeń organizowanych przez LGD, wywiady z organami i członkami Stowarzyszenia, wywiady z pracownikami biura LGD. Badanie satysfakcji i jakości będzie odbywało się w ramach bieżącego monitoringu i ewaluacji wewnętrznych (co rok) i zewnętrznych (co dwa lata) i będzie służyło realizacji celu komunikacyjnego jakim jest poznanie opinii o jakości działań podejmowanych przez LGD i usług doradczych świadczonych przez pracowników biura.</w:t>
      </w:r>
    </w:p>
    <w:p w:rsidR="00B24908" w:rsidRPr="00330CE0" w:rsidRDefault="00B24908" w:rsidP="00B24908">
      <w:pPr>
        <w:pStyle w:val="Akapitzlist"/>
        <w:numPr>
          <w:ilvl w:val="0"/>
          <w:numId w:val="17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s</w:t>
      </w:r>
      <w:r w:rsidRPr="00767E87">
        <w:rPr>
          <w:rFonts w:ascii="Times New Roman" w:hAnsi="Times New Roman" w:cs="Times New Roman"/>
          <w:b/>
          <w:color w:val="000000" w:themeColor="text1"/>
        </w:rPr>
        <w:t>potkania nt. zasad oceniania i wyboru operacji przez LGD</w:t>
      </w:r>
      <w:r>
        <w:rPr>
          <w:rFonts w:ascii="Times New Roman" w:hAnsi="Times New Roman" w:cs="Times New Roman"/>
          <w:color w:val="000000" w:themeColor="text1"/>
        </w:rPr>
        <w:t>, w ramach których zostaną użyte następujące środki przekazu:</w:t>
      </w:r>
      <w:r w:rsidRPr="009A055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0550">
        <w:rPr>
          <w:rFonts w:ascii="Times New Roman" w:hAnsi="Times New Roman" w:cs="Times New Roman"/>
          <w:color w:val="000000" w:themeColor="text1"/>
        </w:rPr>
        <w:t>ulotka informacyjna przekazywana podczas szkoleń</w:t>
      </w:r>
      <w:r>
        <w:rPr>
          <w:rFonts w:ascii="Times New Roman" w:hAnsi="Times New Roman" w:cs="Times New Roman"/>
          <w:color w:val="000000" w:themeColor="text1"/>
        </w:rPr>
        <w:t>, prezentacje przygotowane przez członków Rady.</w:t>
      </w:r>
      <w:r w:rsidRPr="009A055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Spotkania będą realizowały cel: </w:t>
      </w:r>
      <w:r w:rsidRPr="004D6758">
        <w:rPr>
          <w:rFonts w:ascii="Times New Roman" w:hAnsi="Times New Roman" w:cs="Times New Roman"/>
          <w:color w:val="000000" w:themeColor="text1"/>
        </w:rPr>
        <w:t xml:space="preserve">informowanie o ogłaszanych konkursach i ich wynikach, zasadach przyznawania pomocy w ramach poszczególnych typów projektów, </w:t>
      </w:r>
      <w:r>
        <w:rPr>
          <w:rFonts w:ascii="Times New Roman" w:hAnsi="Times New Roman" w:cs="Times New Roman"/>
          <w:color w:val="000000" w:themeColor="text1"/>
        </w:rPr>
        <w:t xml:space="preserve">zasadach rozliczania i realizacji operacji, </w:t>
      </w:r>
      <w:r w:rsidRPr="00330CE0">
        <w:rPr>
          <w:rFonts w:ascii="Times New Roman" w:hAnsi="Times New Roman" w:cs="Times New Roman"/>
          <w:color w:val="000000" w:themeColor="text1"/>
        </w:rPr>
        <w:t>aktywizowanie lokalnej społeczności i zachęcanie jej do współrealizacji LSR</w:t>
      </w:r>
      <w:r>
        <w:rPr>
          <w:rFonts w:ascii="Times New Roman" w:hAnsi="Times New Roman" w:cs="Times New Roman"/>
          <w:color w:val="000000" w:themeColor="text1"/>
        </w:rPr>
        <w:t>, poznanie opinii o </w:t>
      </w:r>
      <w:r w:rsidRPr="00330CE0">
        <w:rPr>
          <w:rFonts w:ascii="Times New Roman" w:hAnsi="Times New Roman" w:cs="Times New Roman"/>
          <w:color w:val="000000" w:themeColor="text1"/>
        </w:rPr>
        <w:t>jakości działań podejmowanych przez LGD i usług doradczych świadczonych przez pracowników biura.</w:t>
      </w:r>
    </w:p>
    <w:p w:rsidR="00B24908" w:rsidRDefault="00B24908" w:rsidP="00B24908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Wszystkie powyższe </w:t>
      </w:r>
      <w:proofErr w:type="spellStart"/>
      <w:r>
        <w:rPr>
          <w:rFonts w:ascii="Times New Roman" w:hAnsi="Times New Roman" w:cs="Times New Roman"/>
          <w:color w:val="000000" w:themeColor="text1"/>
        </w:rPr>
        <w:t>działania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komunikacyjne prowadzone we właściwy i fachowy sposób przyczynią się do tworzenia pozytywnego i profesjonalnego wizerunku LGD, tj. osiągnięcia jednego z celów działań komunikacyjnych.</w:t>
      </w:r>
    </w:p>
    <w:p w:rsidR="00B24908" w:rsidRPr="009F5AE3" w:rsidRDefault="00B24908" w:rsidP="00B24908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 uwagi na szeroki zakres poszczególnych działań komunikacyjnych wszystkie z nich będą miały zastosowanie do wszystkich grup odbiorców, w tym do grup wykluczonych i </w:t>
      </w:r>
      <w:proofErr w:type="spellStart"/>
      <w:r>
        <w:rPr>
          <w:rFonts w:ascii="Times New Roman" w:hAnsi="Times New Roman" w:cs="Times New Roman"/>
          <w:color w:val="000000" w:themeColor="text1"/>
        </w:rPr>
        <w:t>defaworyzowanych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ze względu na dostęp do rynku pracy</w:t>
      </w:r>
      <w:r w:rsidRPr="0091090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opisanych szerzej w treści LSR.</w:t>
      </w:r>
    </w:p>
    <w:p w:rsidR="00B24908" w:rsidRDefault="00B24908" w:rsidP="00B24908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Adresaci poszczególnych działań komunikacyjnych. </w:t>
      </w:r>
      <w:r>
        <w:rPr>
          <w:rFonts w:ascii="Times New Roman" w:hAnsi="Times New Roman" w:cs="Times New Roman"/>
          <w:color w:val="000000" w:themeColor="text1"/>
        </w:rPr>
        <w:t xml:space="preserve">Proponowane </w:t>
      </w:r>
      <w:proofErr w:type="spellStart"/>
      <w:r>
        <w:rPr>
          <w:rFonts w:ascii="Times New Roman" w:hAnsi="Times New Roman" w:cs="Times New Roman"/>
          <w:color w:val="000000" w:themeColor="text1"/>
        </w:rPr>
        <w:t>działania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komunikacyjne oraz różnorodność środków przekazu zagwarantują społeczności lokalnej szeroki i otwarty udział w procesie komunikacyjnym. Grupę docelową poszczególnych działań komunikacyjnych tworzą:</w:t>
      </w:r>
    </w:p>
    <w:p w:rsidR="00B24908" w:rsidRPr="00F15262" w:rsidRDefault="00B24908" w:rsidP="00B24908">
      <w:pPr>
        <w:pStyle w:val="Akapitzlist"/>
        <w:numPr>
          <w:ilvl w:val="0"/>
          <w:numId w:val="16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CB58E1">
        <w:rPr>
          <w:rFonts w:ascii="Times New Roman" w:hAnsi="Times New Roman" w:cs="Times New Roman"/>
          <w:b/>
          <w:color w:val="000000" w:themeColor="text1"/>
        </w:rPr>
        <w:t>wnioskodawcy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15262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np. JST, NGO, przedsiębiorcy, parafie i związki wyznaniowe, rolnicy, podmioty świadczące usługi opiekuńcze i pomoc społeczną, funkcjonujące na obszarze LGD)</w:t>
      </w:r>
      <w:r w:rsidRPr="00F15262">
        <w:rPr>
          <w:rFonts w:ascii="Times New Roman" w:hAnsi="Times New Roman" w:cs="Times New Roman"/>
          <w:color w:val="000000" w:themeColor="text1"/>
        </w:rPr>
        <w:t xml:space="preserve"> będący odbiorcami kampanii informacyjno-promocyjnych, badań satysfakcji i jakości, warsztatów tematycznych, spotkań nt. zasad oceniania i wyboru operacji przez LGD,</w:t>
      </w:r>
    </w:p>
    <w:p w:rsidR="00B24908" w:rsidRPr="00F15262" w:rsidRDefault="00B24908" w:rsidP="00B24908">
      <w:pPr>
        <w:pStyle w:val="Akapitzlist"/>
        <w:numPr>
          <w:ilvl w:val="0"/>
          <w:numId w:val="16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F15262">
        <w:rPr>
          <w:rFonts w:ascii="Times New Roman" w:hAnsi="Times New Roman" w:cs="Times New Roman"/>
          <w:b/>
          <w:color w:val="000000" w:themeColor="text1"/>
        </w:rPr>
        <w:t xml:space="preserve">beneficjenci realizujący operacje </w:t>
      </w:r>
      <w:r w:rsidRPr="00F15262">
        <w:rPr>
          <w:rFonts w:ascii="Times New Roman" w:hAnsi="Times New Roman" w:cs="Times New Roman"/>
          <w:color w:val="000000" w:themeColor="text1"/>
        </w:rPr>
        <w:t>(np. JST, NGO, przedsiębiorcy, parafie i związki wyznaniowe, rolnicy, podmioty świadczące usługi opiekuńcze i pomoc społeczną, funkcjonujące na obszarze LGD) będący odbiorcami kampanii informacyjno-promocyjnych, badań satysfakcji i jakości, warsztatów tematycznych, spotkań nt. zasad oceniania i wyboru operacji przez LGD,</w:t>
      </w:r>
    </w:p>
    <w:p w:rsidR="00B24908" w:rsidRPr="00F15262" w:rsidRDefault="00B24908" w:rsidP="00B24908">
      <w:pPr>
        <w:pStyle w:val="Akapitzlist"/>
        <w:numPr>
          <w:ilvl w:val="0"/>
          <w:numId w:val="16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15262">
        <w:rPr>
          <w:rFonts w:ascii="Times New Roman" w:hAnsi="Times New Roman" w:cs="Times New Roman"/>
          <w:b/>
          <w:color w:val="000000" w:themeColor="text1"/>
        </w:rPr>
        <w:t>mieszkańcy obszaru</w:t>
      </w:r>
      <w:r w:rsidRPr="00F15262">
        <w:rPr>
          <w:rFonts w:ascii="Times New Roman" w:hAnsi="Times New Roman" w:cs="Times New Roman"/>
          <w:color w:val="000000" w:themeColor="text1"/>
        </w:rPr>
        <w:t xml:space="preserve"> będący odbiorcami kampanii informacyjno-promocyjnych,</w:t>
      </w:r>
    </w:p>
    <w:p w:rsidR="00B24908" w:rsidRPr="00F15262" w:rsidRDefault="00B24908" w:rsidP="00B24908">
      <w:pPr>
        <w:pStyle w:val="Akapitzlist"/>
        <w:numPr>
          <w:ilvl w:val="0"/>
          <w:numId w:val="16"/>
        </w:num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członkowie Stowarzyszenia i jego organów</w:t>
      </w:r>
      <w:r w:rsidRPr="00F15262">
        <w:rPr>
          <w:rFonts w:ascii="Times New Roman" w:hAnsi="Times New Roman" w:cs="Times New Roman"/>
          <w:color w:val="000000" w:themeColor="text1"/>
        </w:rPr>
        <w:t xml:space="preserve"> będący odbiorcami kampanii informacyjno-promocyjnych, badań satysfakcji i jakości, warsztatów tematycznych, spotkań nt. zasad oceniania i wyboru operacji przez LGD,</w:t>
      </w:r>
    </w:p>
    <w:p w:rsidR="00B24908" w:rsidRPr="001C05E5" w:rsidRDefault="00B24908" w:rsidP="00B24908">
      <w:pPr>
        <w:pStyle w:val="Akapitzlist"/>
        <w:numPr>
          <w:ilvl w:val="0"/>
          <w:numId w:val="16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pracownicy biura LGD</w:t>
      </w:r>
      <w:r w:rsidRPr="00BB3B03">
        <w:rPr>
          <w:rFonts w:ascii="Times New Roman" w:hAnsi="Times New Roman" w:cs="Times New Roman"/>
          <w:color w:val="000000" w:themeColor="text1"/>
        </w:rPr>
        <w:t xml:space="preserve"> </w:t>
      </w:r>
      <w:r w:rsidRPr="00F15262">
        <w:rPr>
          <w:rFonts w:ascii="Times New Roman" w:hAnsi="Times New Roman" w:cs="Times New Roman"/>
          <w:color w:val="000000" w:themeColor="text1"/>
        </w:rPr>
        <w:t>będący odbiorcami</w:t>
      </w:r>
      <w:r w:rsidRPr="00BB3B03">
        <w:rPr>
          <w:rFonts w:ascii="Times New Roman" w:hAnsi="Times New Roman" w:cs="Times New Roman"/>
          <w:color w:val="000000" w:themeColor="text1"/>
        </w:rPr>
        <w:t xml:space="preserve"> badań satysfakcji i jakości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B24908" w:rsidRDefault="00B24908" w:rsidP="00B24908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C05E5">
        <w:rPr>
          <w:rFonts w:ascii="Times New Roman" w:hAnsi="Times New Roman" w:cs="Times New Roman"/>
          <w:color w:val="000000" w:themeColor="text1"/>
        </w:rPr>
        <w:t>LGD</w:t>
      </w:r>
      <w:r>
        <w:rPr>
          <w:rFonts w:ascii="Times New Roman" w:hAnsi="Times New Roman" w:cs="Times New Roman"/>
          <w:color w:val="000000" w:themeColor="text1"/>
        </w:rPr>
        <w:t xml:space="preserve"> realizując plan komunikacji musi mieć na względzie siłę opiniotwórczą poszczególnych odbiorców, dlatego informacje przekazywane do grup jakimi są wnioskodawcy i beneficjenci realizujący operacje powinny być precyzyjne, specjalistyczne i zarazem pobudzające do </w:t>
      </w:r>
      <w:proofErr w:type="spellStart"/>
      <w:r>
        <w:rPr>
          <w:rFonts w:ascii="Times New Roman" w:hAnsi="Times New Roman" w:cs="Times New Roman"/>
          <w:color w:val="000000" w:themeColor="text1"/>
        </w:rPr>
        <w:t>działania</w:t>
      </w:r>
      <w:proofErr w:type="spellEnd"/>
      <w:r>
        <w:rPr>
          <w:rFonts w:ascii="Times New Roman" w:hAnsi="Times New Roman" w:cs="Times New Roman"/>
          <w:color w:val="000000" w:themeColor="text1"/>
        </w:rPr>
        <w:t>, co z kolei przełoży się na kreowanie pozytywnego wizerunku LGD i LSR. Nie bez znaczenia jest opinia ogółu społeczności lokalnej, która może być budowana podczas wszelkich inicjatyw LGD (szkolenia, wydarzenia promocyjne, itp.) czy w komunikatach zamieszczanych w mediach (prasa, Internet). Komunikaty te będą kreowały zarówno wizerunek LGD jako podmiotu wdrażającego fundusze europejskie jak i opinię na temat polityki rozwoju regionalnego, czy Unii Europejskiej.</w:t>
      </w:r>
    </w:p>
    <w:p w:rsidR="00B24908" w:rsidRPr="00986ECA" w:rsidRDefault="00B24908" w:rsidP="00B24908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Wskaźniki realizacji planu komunikacji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2410"/>
        <w:gridCol w:w="1984"/>
        <w:gridCol w:w="2552"/>
        <w:gridCol w:w="2409"/>
        <w:gridCol w:w="3828"/>
      </w:tblGrid>
      <w:tr w:rsidR="00B24908" w:rsidRPr="002C2F8F" w:rsidTr="00B24908">
        <w:trPr>
          <w:trHeight w:val="699"/>
        </w:trPr>
        <w:tc>
          <w:tcPr>
            <w:tcW w:w="959" w:type="dxa"/>
            <w:shd w:val="clear" w:color="auto" w:fill="31849B" w:themeFill="accent5" w:themeFillShade="BF"/>
            <w:vAlign w:val="center"/>
          </w:tcPr>
          <w:p w:rsidR="00B24908" w:rsidRPr="001D6F46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Termin</w:t>
            </w:r>
          </w:p>
        </w:tc>
        <w:tc>
          <w:tcPr>
            <w:tcW w:w="2410" w:type="dxa"/>
            <w:shd w:val="clear" w:color="auto" w:fill="31849B" w:themeFill="accent5" w:themeFillShade="BF"/>
            <w:vAlign w:val="center"/>
          </w:tcPr>
          <w:p w:rsidR="00B24908" w:rsidRPr="001D6F46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6F46">
              <w:rPr>
                <w:rFonts w:ascii="Times New Roman" w:hAnsi="Times New Roman" w:cs="Times New Roman"/>
                <w:b/>
                <w:color w:val="FFFFFF" w:themeColor="background1"/>
              </w:rPr>
              <w:t>Cel komunikacji</w:t>
            </w:r>
          </w:p>
        </w:tc>
        <w:tc>
          <w:tcPr>
            <w:tcW w:w="1984" w:type="dxa"/>
            <w:shd w:val="clear" w:color="auto" w:fill="31849B" w:themeFill="accent5" w:themeFillShade="BF"/>
            <w:vAlign w:val="center"/>
          </w:tcPr>
          <w:p w:rsidR="00B24908" w:rsidRPr="001D6F46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6F46">
              <w:rPr>
                <w:rFonts w:ascii="Times New Roman" w:hAnsi="Times New Roman" w:cs="Times New Roman"/>
                <w:b/>
                <w:color w:val="FFFFFF" w:themeColor="background1"/>
              </w:rPr>
              <w:t>Działanie komunikacyjne</w:t>
            </w:r>
          </w:p>
        </w:tc>
        <w:tc>
          <w:tcPr>
            <w:tcW w:w="2552" w:type="dxa"/>
            <w:shd w:val="clear" w:color="auto" w:fill="31849B" w:themeFill="accent5" w:themeFillShade="BF"/>
            <w:vAlign w:val="center"/>
          </w:tcPr>
          <w:p w:rsidR="00B24908" w:rsidRPr="001D6F46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Środki przekazu</w:t>
            </w:r>
          </w:p>
        </w:tc>
        <w:tc>
          <w:tcPr>
            <w:tcW w:w="2409" w:type="dxa"/>
            <w:shd w:val="clear" w:color="auto" w:fill="31849B" w:themeFill="accent5" w:themeFillShade="BF"/>
            <w:vAlign w:val="center"/>
          </w:tcPr>
          <w:p w:rsidR="00B24908" w:rsidRPr="001D6F46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6F46">
              <w:rPr>
                <w:rFonts w:ascii="Times New Roman" w:hAnsi="Times New Roman" w:cs="Times New Roman"/>
                <w:b/>
                <w:color w:val="FFFFFF" w:themeColor="background1"/>
              </w:rPr>
              <w:t>Adresaci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(grupy docelowe)</w:t>
            </w:r>
          </w:p>
        </w:tc>
        <w:tc>
          <w:tcPr>
            <w:tcW w:w="3828" w:type="dxa"/>
            <w:shd w:val="clear" w:color="auto" w:fill="31849B" w:themeFill="accent5" w:themeFillShade="BF"/>
            <w:vAlign w:val="center"/>
          </w:tcPr>
          <w:p w:rsidR="00B24908" w:rsidRPr="001D6F46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6F46">
              <w:rPr>
                <w:rFonts w:ascii="Times New Roman" w:hAnsi="Times New Roman" w:cs="Times New Roman"/>
                <w:b/>
                <w:color w:val="FFFFFF" w:themeColor="background1"/>
              </w:rPr>
              <w:t>Wskaźnik</w:t>
            </w:r>
          </w:p>
        </w:tc>
      </w:tr>
      <w:tr w:rsidR="00B24908" w:rsidRPr="002C2F8F" w:rsidTr="00B24908">
        <w:tc>
          <w:tcPr>
            <w:tcW w:w="959" w:type="dxa"/>
            <w:shd w:val="clear" w:color="auto" w:fill="92CDDC" w:themeFill="accent5" w:themeFillTint="99"/>
          </w:tcPr>
          <w:p w:rsidR="00B2490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B2490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2766B">
              <w:rPr>
                <w:rFonts w:ascii="Times New Roman" w:hAnsi="Times New Roman" w:cs="Times New Roman"/>
                <w:b/>
                <w:color w:val="000000" w:themeColor="text1"/>
              </w:rPr>
              <w:t>2016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08F0">
              <w:rPr>
                <w:rFonts w:ascii="Times New Roman" w:hAnsi="Times New Roman" w:cs="Times New Roman"/>
                <w:b/>
                <w:color w:val="000000" w:themeColor="text1"/>
              </w:rPr>
              <w:t xml:space="preserve">II </w:t>
            </w:r>
            <w:proofErr w:type="spellStart"/>
            <w:r w:rsidRPr="007808F0"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 w:rsidRPr="007808F0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2018 r.</w:t>
            </w:r>
          </w:p>
          <w:p w:rsidR="00B24908" w:rsidRPr="007808F0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2021 r.</w:t>
            </w:r>
          </w:p>
          <w:p w:rsidR="00B24908" w:rsidRPr="002C2F8F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Poinformowanie mieszkańców obszaru LGD, w szczególności potencjalnych wnioskodawców o LSR, jej głównych celach, zasadach przyznawania pomocy oraz typach operacji, na których realizację będzie można otrzymać wsparcie.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Kampania informacyjno-promocyjna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ogłoszenia/artykuły na stronach internetowych (m.in. LGD i kluczowych partnerów)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poradnik dla beneficjenta na stronie internetowej Stowarzyszenia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informacja na portalu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społecznościowym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LGD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wysyłanie informacji w formie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Newslettera</w:t>
            </w:r>
            <w:proofErr w:type="spellEnd"/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ogłoszenia w formie plakatów (na tablicach informacyjnych w instytucjach)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spotkania informacyjne w gminach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ulotka informacyjna</w:t>
            </w:r>
          </w:p>
          <w:p w:rsidR="00B24908" w:rsidRPr="002C2F8F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doradztwo w siedzibie Biura LGD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wszyscy potencjalni wnioskodawcy w szczególności grupy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beneficjenci realizujący projekty</w:t>
            </w:r>
          </w:p>
          <w:p w:rsidR="00B24908" w:rsidRPr="002C2F8F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mieszkańcy obszaru 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ogłoszeń na stronach internetowych -minimum 1 ogłoszenie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nowych informacji w ramach poradnika beneficjenta -minimum 1 informacja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liczba informacji na portalu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społecznościo-wym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minimum 1 informacja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odbiorców informacji wysłanych mailowo - 50 odbiorców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plakatów w instytucjach -1 plakat w minimum 6 instytucjach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spotkań informacyjnych – 5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ulotek – 1 ulotka o nakładzie 1000 szt. (dotyczy 1 roku)</w:t>
            </w:r>
          </w:p>
          <w:p w:rsidR="00B24908" w:rsidRPr="002C0D6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udzielonych poradnictw – 10 (dotyczy 1 roku)</w:t>
            </w:r>
          </w:p>
        </w:tc>
      </w:tr>
      <w:tr w:rsidR="00B24908" w:rsidRPr="002C2F8F" w:rsidTr="00B24908">
        <w:tc>
          <w:tcPr>
            <w:tcW w:w="959" w:type="dxa"/>
            <w:shd w:val="clear" w:color="auto" w:fill="92CDDC" w:themeFill="accent5" w:themeFillTint="99"/>
          </w:tcPr>
          <w:p w:rsidR="00B2490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2016 </w:t>
            </w:r>
            <w:r w:rsidRPr="00E2766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2017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2018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2019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2020 r. </w:t>
            </w:r>
          </w:p>
          <w:p w:rsidR="00B24908" w:rsidRPr="002C2F8F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Poinformowanie mieszkańców obszaru LGD o planowanych konkursach i innych działaniach podejmowanych przez LGD oraz zwiększenie zaangażowania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mieszkańców w działalność LGD, promocja dobrych praktyk LGD i innych organizacji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B24908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Kampania informacyjno-promocyjna</w:t>
            </w:r>
          </w:p>
          <w:p w:rsidR="00B24908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4908" w:rsidRPr="002C2F8F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ogłoszenia/artykuły na stronach internetowych (m.in. LGD i kluczowych partnerów)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poradnik dla beneficjenta na stronie internetowej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Stowarzyszenia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wysyłanie informacji w formie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Newslettera</w:t>
            </w:r>
            <w:proofErr w:type="spellEnd"/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informacja na portalu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społecznościowym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LGD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wydarzenia promocyjne i aktywizacyjne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ulotki/broszury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doradztwo w siedzibie Biura LGD</w:t>
            </w:r>
          </w:p>
          <w:p w:rsidR="00B24908" w:rsidRPr="002C2F8F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wszyscy potencjalni wnioskodawcy w szczególności grupy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-beneficjenci realizujący projekty</w:t>
            </w:r>
          </w:p>
          <w:p w:rsidR="00B24908" w:rsidRPr="002C2F8F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mieszkańcy obszaru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liczba ogłoszeń na stronach internetowych -minimum 1 ogłoszenie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nowych informacji w ramach poradnika beneficjenta -minimum 1 informacja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liczba odbiorców informacji wysłanych mailowo - 50 odbiorców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liczba informacji na portalu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społecznościo-wym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minimum 1 informacja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wydarzeń promocyjnych i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aktywizują-cych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3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broszur/ulotek - 1 ulotka o nakładzie 100 szt. (dotyczy 1 roku)</w:t>
            </w:r>
          </w:p>
          <w:p w:rsidR="00B24908" w:rsidRPr="002C2F8F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udzielonych poradnictw - 10 (dotyczy 1 roku)</w:t>
            </w:r>
          </w:p>
        </w:tc>
      </w:tr>
      <w:tr w:rsidR="00B24908" w:rsidRPr="002C2F8F" w:rsidTr="00B24908">
        <w:tc>
          <w:tcPr>
            <w:tcW w:w="959" w:type="dxa"/>
            <w:shd w:val="clear" w:color="auto" w:fill="92CDDC" w:themeFill="accent5" w:themeFillTint="99"/>
          </w:tcPr>
          <w:p w:rsidR="00B2490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2016 </w:t>
            </w:r>
            <w:r w:rsidRPr="00E2766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2017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2018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2019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2020 r. </w:t>
            </w:r>
          </w:p>
          <w:p w:rsidR="00B2490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B24908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Poinformowanie mieszkańców o ogłoszonym konkursie i terminach przyjmowania wniosków</w:t>
            </w:r>
          </w:p>
          <w:p w:rsidR="00B24908" w:rsidRPr="002C2F8F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Kampania informacyjno-promocyjna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ogłoszenia/artykuły na stronach internetowych (m.in. LGD i kluczowych partnerów)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ogłoszenia w formie plakatów (na tablicach informacyjnych w instytucjach)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ogłoszenia/artykuły w prasie lokalnej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poradnik dla beneficjenta na stronie internetowej Stowarzyszenia</w:t>
            </w:r>
          </w:p>
          <w:p w:rsidR="00B24908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wiadomość e-mailowa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do osób z listy mailingowej LGD</w:t>
            </w:r>
          </w:p>
          <w:p w:rsidR="00B24908" w:rsidRPr="002C2F8F" w:rsidRDefault="00B24908" w:rsidP="00B24908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informacja na portalu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społecznościowym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LGD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wszyscy potencjalni wnioskodawcy w szczególności grupy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-beneficjenci realizujący projekty</w:t>
            </w:r>
          </w:p>
          <w:p w:rsidR="00B24908" w:rsidRPr="002C2F8F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mieszkańcy obszaru</w:t>
            </w:r>
            <w:r w:rsidRPr="002C2F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liczba ogłoszeń na stronach internetowych -1 ogłoszenie dla danego konkursu 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liczba plakatów w instytucjach - 1 plakat dla danego konkursu w minimum 6 instytucjach 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liczba ogłoszeń  w prasie lokalnej – 1 ogłoszenie dla danego konkursu 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liczba nowych informacji w ramach poradnika beneficjenta -1 informacja (dotyczy 1 roku) 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odbiorców informacji wysłanych mailowo - 50 odbiorców (dotyczy 1 roku)</w:t>
            </w:r>
          </w:p>
          <w:p w:rsidR="00B24908" w:rsidRPr="002C2F8F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liczba informacji na portalu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społecznościowym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-1 informacja dla danego konkursu </w:t>
            </w:r>
          </w:p>
        </w:tc>
      </w:tr>
      <w:tr w:rsidR="00B24908" w:rsidRPr="002C2F8F" w:rsidTr="00B24908">
        <w:tc>
          <w:tcPr>
            <w:tcW w:w="959" w:type="dxa"/>
            <w:shd w:val="clear" w:color="auto" w:fill="92CDDC" w:themeFill="accent5" w:themeFillTint="99"/>
          </w:tcPr>
          <w:p w:rsidR="00B2490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2016 </w:t>
            </w:r>
            <w:r w:rsidRPr="00E2766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2017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2018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2019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2020 r. </w:t>
            </w:r>
          </w:p>
          <w:p w:rsidR="00B2490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Informowanie o zasadach przyznawania pomocy w ramach poszczególnych typów operacji, zasadach rozliczania i realizacji projektów</w:t>
            </w: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4908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Spotkania nt. zasad oceniania i wyboru operacji przez LGD</w:t>
            </w: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Warsztaty tematyczne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Badanie satysfakcji i jakości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prezentacje przygotowane przez członków Rady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ulotka informacyjna przekazywana podczas spotkań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materiały szkoleniowe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ankiety wypełniane przez uczestników szkoleń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doradztwo w siedzibie Biura LGD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wszyscy potencjalni wnioskodawcy w szczególności grupy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-beneficjenci realizujący projekty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mieszkańcy obszaru </w:t>
            </w: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spotkań – 1 spotkanie dla danego konkursu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liczba spotkań w ramach konkursu, którego odbiorcami są osoby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defaworyzowa-ne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- 1 spotkanie dla danego konkursu 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przekazanych ulotek (w zależności od liczby uczestników szkoleń)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%  ankiet wypełnionych przez uczestników szkoleń – 20% (dotyczy 1 roku)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udzielonych poradnictw – 10 (dotyczy 1 roku)</w:t>
            </w:r>
          </w:p>
        </w:tc>
      </w:tr>
      <w:tr w:rsidR="00B24908" w:rsidRPr="002C2F8F" w:rsidTr="00B24908">
        <w:tc>
          <w:tcPr>
            <w:tcW w:w="959" w:type="dxa"/>
            <w:shd w:val="clear" w:color="auto" w:fill="92CDDC" w:themeFill="accent5" w:themeFillTint="99"/>
          </w:tcPr>
          <w:p w:rsidR="00B2490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2016 </w:t>
            </w:r>
            <w:r w:rsidRPr="00E2766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2017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2018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2019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2020 r. </w:t>
            </w:r>
          </w:p>
          <w:p w:rsidR="00B2490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Poinformowanie mieszkańców i wnioskodawców o wynikach konkursu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Kampania informacyjna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ogłoszenie/artykuł na stronie internetowej LGD</w:t>
            </w:r>
          </w:p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wszyscy wnioskodawcy w szczególności grupy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liczba ogłoszeń na stronie internetowej LGD – 1 ogłoszenie dla danego konkursu </w:t>
            </w:r>
          </w:p>
        </w:tc>
      </w:tr>
      <w:tr w:rsidR="00B24908" w:rsidRPr="002C2F8F" w:rsidTr="00B24908">
        <w:tc>
          <w:tcPr>
            <w:tcW w:w="959" w:type="dxa"/>
            <w:shd w:val="clear" w:color="auto" w:fill="92CDDC" w:themeFill="accent5" w:themeFillTint="99"/>
          </w:tcPr>
          <w:p w:rsidR="00B2490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2017 r. 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 2018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 2019 r.</w:t>
            </w:r>
          </w:p>
          <w:p w:rsidR="00B24908" w:rsidRDefault="00B24908" w:rsidP="00805733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2020 r. </w:t>
            </w:r>
          </w:p>
          <w:p w:rsidR="00B2490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B24908" w:rsidRPr="0091587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P</w:t>
            </w:r>
            <w:r w:rsidRPr="00915878">
              <w:rPr>
                <w:rFonts w:ascii="Times New Roman" w:hAnsi="Times New Roman" w:cs="Times New Roman"/>
                <w:color w:val="000000" w:themeColor="text1"/>
              </w:rPr>
              <w:t>oznanie opinii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 </w:t>
            </w:r>
            <w:r w:rsidRPr="00915878">
              <w:rPr>
                <w:rFonts w:ascii="Times New Roman" w:hAnsi="Times New Roman" w:cs="Times New Roman"/>
                <w:color w:val="000000" w:themeColor="text1"/>
              </w:rPr>
              <w:t xml:space="preserve">jakości działań </w:t>
            </w:r>
            <w:r w:rsidRPr="00915878">
              <w:rPr>
                <w:rFonts w:ascii="Times New Roman" w:hAnsi="Times New Roman" w:cs="Times New Roman"/>
                <w:color w:val="000000" w:themeColor="text1"/>
              </w:rPr>
              <w:lastRenderedPageBreak/>
              <w:t>podejmowanych przez LGD i usług doradczych świadczonych przez pracowników biura</w:t>
            </w: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Badanie satysfakcji i jakości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ankiety wypełnianie przez wnioskodawców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i beneficjentów po udzielonym doradztwie</w:t>
            </w: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ankiety elektroniczne wysłane do beneficjentów poszczególnych typów operacji i kluczowych partnerów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ankiety wypełniane przez uczestników szkoleń i innych wydarzeń organizowanych przez LGD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-wywiady z organami i członkami Stowarzyszenia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-wywiady z pracownikami Biura LGD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wnioskodawcy i beneficjenci, którym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LGD udzieliła wsparcia doradczego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uczestnicy szkoleń i innych wydarzeń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członkowie Stowarzyszenia i jego organów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pracownicy Biura LGD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liczba wykonanych badań – 1 (dotyczy 1 roku)</w:t>
            </w:r>
          </w:p>
        </w:tc>
      </w:tr>
      <w:tr w:rsidR="00B24908" w:rsidRPr="002C2F8F" w:rsidTr="00B24908">
        <w:tc>
          <w:tcPr>
            <w:tcW w:w="959" w:type="dxa"/>
            <w:shd w:val="clear" w:color="auto" w:fill="92CDDC" w:themeFill="accent5" w:themeFillTint="99"/>
          </w:tcPr>
          <w:p w:rsidR="00B24908" w:rsidRPr="002C0D68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0D6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Każda zmiana zapisów LSR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Poinformowanie o zmianach w LSR dotyczących np. zmiany kryteriów oceny 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Informacja internetowa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ogłoszenie/artykuł na stronie internetowej LGD</w:t>
            </w:r>
          </w:p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wszyscy potencjalni wnioskodawcy w szczególności grupy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-beneficjenci realizujący projekty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ogłoszeń na stronie internetowej LGD – w zależności od wprowadzanych zmian</w:t>
            </w:r>
          </w:p>
        </w:tc>
      </w:tr>
      <w:tr w:rsidR="00B24908" w:rsidRPr="002C2F8F" w:rsidTr="00B24908">
        <w:tc>
          <w:tcPr>
            <w:tcW w:w="959" w:type="dxa"/>
            <w:shd w:val="clear" w:color="auto" w:fill="92CDDC" w:themeFill="accent5" w:themeFillTint="99"/>
          </w:tcPr>
          <w:p w:rsidR="00B24908" w:rsidRPr="006600FB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poł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2021 r.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Poinformowanie o efektach wdrażania LSR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Kampania informacyjno-promocyjna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ogłoszenie/artykuł na stronie internetowej LGD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broszura informacyjna</w:t>
            </w: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wnioskodawcy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beneficjenci realizujący operacje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-mieszkańcy obszaru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liczba ogłoszeń na stronie internetowej LGD - 1</w:t>
            </w:r>
          </w:p>
          <w:p w:rsidR="00B24908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liczba broszur informacyjnych – 1 broszura o nakładzie 1000 szt.</w:t>
            </w:r>
          </w:p>
        </w:tc>
      </w:tr>
    </w:tbl>
    <w:p w:rsidR="00B24908" w:rsidRDefault="00B24908" w:rsidP="00B24908">
      <w:pPr>
        <w:spacing w:before="24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92368">
        <w:rPr>
          <w:rFonts w:ascii="Times New Roman" w:hAnsi="Times New Roman" w:cs="Times New Roman"/>
          <w:b/>
          <w:color w:val="000000" w:themeColor="text1"/>
        </w:rPr>
        <w:lastRenderedPageBreak/>
        <w:t>Planowane efekty działań komunikacyjnych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Dzięki systematycznej realizacji planu komunikacji zostaną osiągnięte rezultaty w postaci drukowanych materiałów informacyjno-promocyjnych, zorganizowanych szkoleń i wydarzeń, ale przede wszystkim wzrośnie poziom wiedzy wnioskodawców i mieszkańców na temat LSR i wdrażanych przez nią funduszy, </w:t>
      </w:r>
      <w:proofErr w:type="spellStart"/>
      <w:r>
        <w:rPr>
          <w:rFonts w:ascii="Times New Roman" w:hAnsi="Times New Roman" w:cs="Times New Roman"/>
          <w:color w:val="000000" w:themeColor="text1"/>
        </w:rPr>
        <w:t>lokalna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społeczność (w szczególności grupy de faworyzowane) zostanie zaktywizowana i zaangażowana we wdrażanie LSR, zostanie utworzony pozytywny wizerunek LGD oraz wzrośnie jej rozpoznawalność, a także przyczyni się do wzrostu jakości oferowanych przez LGD usług.  </w:t>
      </w:r>
    </w:p>
    <w:p w:rsidR="00B24908" w:rsidRDefault="00B24908" w:rsidP="00B24908">
      <w:pPr>
        <w:spacing w:before="24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201FBE">
        <w:rPr>
          <w:rFonts w:ascii="Times New Roman" w:hAnsi="Times New Roman" w:cs="Times New Roman"/>
          <w:b/>
          <w:color w:val="000000" w:themeColor="text1"/>
        </w:rPr>
        <w:t>Analiza efektywności zastosowanych działań komunikacyjnych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201FBE">
        <w:rPr>
          <w:rFonts w:ascii="Times New Roman" w:hAnsi="Times New Roman" w:cs="Times New Roman"/>
          <w:color w:val="000000" w:themeColor="text1"/>
        </w:rPr>
        <w:t>Plan komunikacji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01FBE">
        <w:rPr>
          <w:rFonts w:ascii="Times New Roman" w:hAnsi="Times New Roman" w:cs="Times New Roman"/>
          <w:color w:val="000000" w:themeColor="text1"/>
        </w:rPr>
        <w:t xml:space="preserve">będzie poddawany systematycznej ocenie </w:t>
      </w:r>
      <w:r>
        <w:rPr>
          <w:rFonts w:ascii="Times New Roman" w:hAnsi="Times New Roman" w:cs="Times New Roman"/>
          <w:color w:val="000000" w:themeColor="text1"/>
        </w:rPr>
        <w:t xml:space="preserve">w ramach bieżącego monitoringu i badań ewaluacyjnych przeprowadzanych przez LGD i podmioty zewnętrzne (zgodnie z Procedurą monitoringu i ewaluacji LSR). Plan komunikacyjny będzie weryfikowany w zakresie adekwatności doboru działań komunikacyjnych do poszczególnych grup docelowych, ich efektywności, skuteczności i racjonalności ponoszonych kosztów. </w:t>
      </w:r>
    </w:p>
    <w:p w:rsidR="00B24908" w:rsidRPr="00201FBE" w:rsidRDefault="00B24908" w:rsidP="00B24908">
      <w:pPr>
        <w:spacing w:before="24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gdy w wyniku przeprowadzonych badań stwierdzone zostaną błędy i nieprawidłowości w celu ich niwelacji w pierwszej kolejności będą miały zastosowanie rekomendacje z badań. W przypadku rażących nieprawidłowości zostanie opracowany plan naprawczy poprzedzony konsultacjami społecznymi w zakresie działań komunikacyjnych i środków przekazu. </w:t>
      </w:r>
    </w:p>
    <w:p w:rsidR="00B24908" w:rsidRDefault="00B24908" w:rsidP="00B24908">
      <w:pPr>
        <w:spacing w:before="24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EA489D">
        <w:rPr>
          <w:rFonts w:ascii="Times New Roman" w:hAnsi="Times New Roman" w:cs="Times New Roman"/>
          <w:b/>
          <w:color w:val="000000" w:themeColor="text1"/>
        </w:rPr>
        <w:t>Opis wniosków/opinii zebranych podczas działań komunikacyjnych i sposobu ich wykorzystania w procesie realizacji LSR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W opracowanym przez LGD planie komunikacyjnym zostały uwzględnione </w:t>
      </w:r>
      <w:proofErr w:type="spellStart"/>
      <w:r>
        <w:rPr>
          <w:rFonts w:ascii="Times New Roman" w:hAnsi="Times New Roman" w:cs="Times New Roman"/>
          <w:color w:val="000000" w:themeColor="text1"/>
        </w:rPr>
        <w:t>działania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mające na celu pozyskanie informacji o funkcjonowaniu LGD, realizacji LSR i jakości udzielanego poradnictwa. Będą temu służyły monitoring i ewaluacja. Informacje zwrotne na temat jakości udzielanego doradztwa będą zbierane w dwojaki sposób. Po pierwsze poprzez uzupełnienie przez wnioskodawcę/beneficjenta ankiety monitorującej jakość usługi doradczej oraz po drugie przez ankiety rozsyłane w formie elektronicznej do beneficjentów</w:t>
      </w:r>
      <w:r w:rsidRPr="00F252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poszczególnych typów operacji i kluczowych partnerów. Informacje dotyczące funkcjonowania LGD i realizacji LSR będą zbierane podczas szkoleń i innych wydarzeń organizowanych przez LGD (w formie ankiet), a także będą zbierane w formie wywiadów z organami, członkami Stowarzyszenia i pracownikami Biura LGD. Ich wyniki posłużą do aktualizacji LSR, procedur, zmiany funkcjonowania poszczególnych organów czy biura LGD, bądź przeprowadzenia korekt w tym zakresie (m.in. poprzez podnoszenie kompetencji pracowników udzielających porad np. w zakresie komunikacji interpersonalnej).</w:t>
      </w:r>
    </w:p>
    <w:p w:rsidR="00B24908" w:rsidRDefault="00B24908" w:rsidP="00B24908">
      <w:pPr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sytuacji zaistnienia problemów z wdrażaniem LSR, braku akceptacji społecznej dla metod wdrażania LSR  czy konkretnych działań podejmowanych przez LGD albo w przypadku konieczności zmiany założeń i planów LGD zostaną podjęte następujące </w:t>
      </w:r>
      <w:proofErr w:type="spellStart"/>
      <w:r>
        <w:rPr>
          <w:rFonts w:ascii="Times New Roman" w:hAnsi="Times New Roman" w:cs="Times New Roman"/>
          <w:color w:val="000000" w:themeColor="text1"/>
        </w:rPr>
        <w:t>działania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naprawcze:</w:t>
      </w:r>
    </w:p>
    <w:tbl>
      <w:tblPr>
        <w:tblStyle w:val="Tabela-Siatka"/>
        <w:tblW w:w="0" w:type="auto"/>
        <w:jc w:val="center"/>
        <w:tblLook w:val="04A0"/>
      </w:tblPr>
      <w:tblGrid>
        <w:gridCol w:w="5303"/>
        <w:gridCol w:w="5303"/>
      </w:tblGrid>
      <w:tr w:rsidR="00B24908" w:rsidTr="00805733">
        <w:trPr>
          <w:trHeight w:val="352"/>
          <w:jc w:val="center"/>
        </w:trPr>
        <w:tc>
          <w:tcPr>
            <w:tcW w:w="5303" w:type="dxa"/>
            <w:shd w:val="clear" w:color="auto" w:fill="31849B" w:themeFill="accent5" w:themeFillShade="BF"/>
            <w:vAlign w:val="center"/>
          </w:tcPr>
          <w:p w:rsidR="00B24908" w:rsidRPr="00AA5553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A5553">
              <w:rPr>
                <w:rFonts w:ascii="Times New Roman" w:hAnsi="Times New Roman" w:cs="Times New Roman"/>
                <w:b/>
                <w:color w:val="FFFFFF" w:themeColor="background1"/>
              </w:rPr>
              <w:t>Ryzyko</w:t>
            </w:r>
          </w:p>
        </w:tc>
        <w:tc>
          <w:tcPr>
            <w:tcW w:w="5303" w:type="dxa"/>
            <w:shd w:val="clear" w:color="auto" w:fill="31849B" w:themeFill="accent5" w:themeFillShade="BF"/>
            <w:vAlign w:val="center"/>
          </w:tcPr>
          <w:p w:rsidR="00B24908" w:rsidRPr="00AA5553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A5553">
              <w:rPr>
                <w:rFonts w:ascii="Times New Roman" w:hAnsi="Times New Roman" w:cs="Times New Roman"/>
                <w:b/>
                <w:color w:val="FFFFFF" w:themeColor="background1"/>
              </w:rPr>
              <w:t>Działania naprawcze</w:t>
            </w:r>
          </w:p>
        </w:tc>
      </w:tr>
      <w:tr w:rsidR="00B24908" w:rsidTr="00805733">
        <w:trPr>
          <w:jc w:val="center"/>
        </w:trPr>
        <w:tc>
          <w:tcPr>
            <w:tcW w:w="5303" w:type="dxa"/>
            <w:shd w:val="clear" w:color="auto" w:fill="92CDDC" w:themeFill="accent5" w:themeFillTint="99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Funkcjonująca negatywna opinia społeczeństwa na temat LGD i działań przez nie realizowanych</w:t>
            </w:r>
          </w:p>
        </w:tc>
        <w:tc>
          <w:tcPr>
            <w:tcW w:w="5303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Budowanie pozytywnego wizerunku LGD poprzez przekazywanie czytelnych i transparentnych treści oraz wysokiej jakości materiały informacyjne, staranne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przygotowywanie przedsięwzięć i angażowanie wykwalifikowanej kadry</w:t>
            </w:r>
          </w:p>
        </w:tc>
      </w:tr>
      <w:tr w:rsidR="00B24908" w:rsidTr="00805733">
        <w:trPr>
          <w:jc w:val="center"/>
        </w:trPr>
        <w:tc>
          <w:tcPr>
            <w:tcW w:w="5303" w:type="dxa"/>
            <w:shd w:val="clear" w:color="auto" w:fill="92CDDC" w:themeFill="accent5" w:themeFillTint="99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Mały odzew społeczny działań podejmowanych przez LGD </w:t>
            </w:r>
          </w:p>
        </w:tc>
        <w:tc>
          <w:tcPr>
            <w:tcW w:w="5303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Zadbanie o właściwe formy poinformowania mieszkańców o organizowanych działaniach</w:t>
            </w:r>
          </w:p>
        </w:tc>
      </w:tr>
      <w:tr w:rsidR="00B24908" w:rsidTr="00805733">
        <w:trPr>
          <w:trHeight w:val="282"/>
          <w:jc w:val="center"/>
        </w:trPr>
        <w:tc>
          <w:tcPr>
            <w:tcW w:w="5303" w:type="dxa"/>
            <w:shd w:val="clear" w:color="auto" w:fill="92CDDC" w:themeFill="accent5" w:themeFillTint="99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Źle dobrane i nieskuteczne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działania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komunikacyjne i środki przekazu</w:t>
            </w:r>
          </w:p>
        </w:tc>
        <w:tc>
          <w:tcPr>
            <w:tcW w:w="5303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Zastosowanie działań w oparciu o cel komunikacyjny oraz sprecyzowaną grupę odbiorców</w:t>
            </w:r>
          </w:p>
        </w:tc>
      </w:tr>
    </w:tbl>
    <w:p w:rsidR="00B24908" w:rsidRDefault="00B24908" w:rsidP="00B24908">
      <w:pPr>
        <w:spacing w:before="2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Wyniki działań w ramach planu komunikacji będą upubliczniane za pomocą publikacji na </w:t>
      </w:r>
      <w:proofErr w:type="spellStart"/>
      <w:r>
        <w:rPr>
          <w:rFonts w:ascii="Times New Roman" w:hAnsi="Times New Roman" w:cs="Times New Roman"/>
          <w:color w:val="000000" w:themeColor="text1"/>
        </w:rPr>
        <w:t>stonie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internetowej Stowarzyszenia oraz będą wykorzystywane do uskuteczniania i udoskonalania planu komunikacji na dalszych etapach realizacji LSR.</w:t>
      </w:r>
    </w:p>
    <w:p w:rsidR="00B24908" w:rsidRPr="00EA489D" w:rsidRDefault="00B24908" w:rsidP="00B24908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A489D">
        <w:rPr>
          <w:rFonts w:ascii="Times New Roman" w:hAnsi="Times New Roman" w:cs="Times New Roman"/>
          <w:b/>
          <w:color w:val="000000" w:themeColor="text1"/>
        </w:rPr>
        <w:t xml:space="preserve">Budżet przewidziany na </w:t>
      </w:r>
      <w:proofErr w:type="spellStart"/>
      <w:r w:rsidRPr="00EA489D">
        <w:rPr>
          <w:rFonts w:ascii="Times New Roman" w:hAnsi="Times New Roman" w:cs="Times New Roman"/>
          <w:b/>
          <w:color w:val="000000" w:themeColor="text1"/>
        </w:rPr>
        <w:t>działania</w:t>
      </w:r>
      <w:proofErr w:type="spellEnd"/>
      <w:r w:rsidRPr="00EA489D">
        <w:rPr>
          <w:rFonts w:ascii="Times New Roman" w:hAnsi="Times New Roman" w:cs="Times New Roman"/>
          <w:b/>
          <w:color w:val="000000" w:themeColor="text1"/>
        </w:rPr>
        <w:t xml:space="preserve"> komunikacyjne w okresie realizacji LSR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Tabela-Siatka"/>
        <w:tblW w:w="0" w:type="auto"/>
        <w:jc w:val="center"/>
        <w:tblInd w:w="-7788" w:type="dxa"/>
        <w:tblLayout w:type="fixed"/>
        <w:tblLook w:val="04A0"/>
      </w:tblPr>
      <w:tblGrid>
        <w:gridCol w:w="8812"/>
        <w:gridCol w:w="3097"/>
        <w:gridCol w:w="1965"/>
      </w:tblGrid>
      <w:tr w:rsidR="00B24908" w:rsidRPr="002C2F8F" w:rsidTr="00B24908">
        <w:trPr>
          <w:trHeight w:val="699"/>
          <w:jc w:val="center"/>
        </w:trPr>
        <w:tc>
          <w:tcPr>
            <w:tcW w:w="8812" w:type="dxa"/>
            <w:shd w:val="clear" w:color="auto" w:fill="31849B" w:themeFill="accent5" w:themeFillShade="BF"/>
            <w:vAlign w:val="center"/>
          </w:tcPr>
          <w:p w:rsidR="00B24908" w:rsidRPr="001D6F46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0" w:name="_GoBack"/>
            <w:bookmarkEnd w:id="0"/>
            <w:r w:rsidRPr="001D6F46">
              <w:rPr>
                <w:rFonts w:ascii="Times New Roman" w:hAnsi="Times New Roman" w:cs="Times New Roman"/>
                <w:b/>
                <w:color w:val="FFFFFF" w:themeColor="background1"/>
              </w:rPr>
              <w:t>Cel komunikacji</w:t>
            </w:r>
          </w:p>
        </w:tc>
        <w:tc>
          <w:tcPr>
            <w:tcW w:w="3097" w:type="dxa"/>
            <w:shd w:val="clear" w:color="auto" w:fill="31849B" w:themeFill="accent5" w:themeFillShade="BF"/>
            <w:vAlign w:val="center"/>
          </w:tcPr>
          <w:p w:rsidR="00B24908" w:rsidRPr="001D6F46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6F46">
              <w:rPr>
                <w:rFonts w:ascii="Times New Roman" w:hAnsi="Times New Roman" w:cs="Times New Roman"/>
                <w:b/>
                <w:color w:val="FFFFFF" w:themeColor="background1"/>
              </w:rPr>
              <w:t>Działanie komunikacyjne</w:t>
            </w:r>
          </w:p>
        </w:tc>
        <w:tc>
          <w:tcPr>
            <w:tcW w:w="1965" w:type="dxa"/>
            <w:shd w:val="clear" w:color="auto" w:fill="31849B" w:themeFill="accent5" w:themeFillShade="BF"/>
            <w:vAlign w:val="center"/>
          </w:tcPr>
          <w:p w:rsidR="00B24908" w:rsidRPr="001D6F46" w:rsidRDefault="00B24908" w:rsidP="0080573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Budżet (ogółem)</w:t>
            </w:r>
          </w:p>
        </w:tc>
      </w:tr>
      <w:tr w:rsidR="00B24908" w:rsidRPr="002C2F8F" w:rsidTr="00B24908">
        <w:trPr>
          <w:jc w:val="center"/>
        </w:trPr>
        <w:tc>
          <w:tcPr>
            <w:tcW w:w="8812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Poinformowanie mieszkańców obszaru LGD, w szczególności potencjalnych wnioskodawców o LSR, jej głównych celach, zasadach przyznawania pomocy oraz typach operacji, na których realizację będzie można otrzymać wsparcie.</w:t>
            </w:r>
          </w:p>
        </w:tc>
        <w:tc>
          <w:tcPr>
            <w:tcW w:w="3097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Kampania informacyjno-promocyjna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:rsidR="00B24908" w:rsidRPr="004D1E37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4D1E37">
              <w:rPr>
                <w:rFonts w:ascii="Times New Roman" w:hAnsi="Times New Roman" w:cs="Times New Roman"/>
                <w:color w:val="FF0000"/>
              </w:rPr>
              <w:t xml:space="preserve">6 000,00 zł </w:t>
            </w:r>
          </w:p>
        </w:tc>
      </w:tr>
      <w:tr w:rsidR="00B24908" w:rsidRPr="002C2F8F" w:rsidTr="00B24908">
        <w:trPr>
          <w:trHeight w:val="729"/>
          <w:jc w:val="center"/>
        </w:trPr>
        <w:tc>
          <w:tcPr>
            <w:tcW w:w="8812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Poinformowanie mieszkańców obszaru LGD o planowanych konkursach i innych działaniach podejmowanych przez LGD oraz zwiększenie zaangażowania mieszkańców w działalność LGD, promocja dobrych praktyk LGD i innych organizacji</w:t>
            </w:r>
          </w:p>
        </w:tc>
        <w:tc>
          <w:tcPr>
            <w:tcW w:w="3097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Kampania informacyjno-promocyjna</w:t>
            </w:r>
          </w:p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shd w:val="clear" w:color="auto" w:fill="DAEEF3" w:themeFill="accent5" w:themeFillTint="33"/>
          </w:tcPr>
          <w:p w:rsidR="00B24908" w:rsidRPr="004D1E37" w:rsidRDefault="00B24908" w:rsidP="00805733">
            <w:pPr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4D1E37">
              <w:rPr>
                <w:rFonts w:ascii="Times New Roman" w:hAnsi="Times New Roman" w:cs="Times New Roman"/>
                <w:color w:val="FF0000"/>
              </w:rPr>
              <w:t>300 000,00 zł</w:t>
            </w:r>
          </w:p>
          <w:p w:rsidR="00B24908" w:rsidRPr="004D1E37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4908" w:rsidRPr="002C2F8F" w:rsidTr="00B24908">
        <w:trPr>
          <w:jc w:val="center"/>
        </w:trPr>
        <w:tc>
          <w:tcPr>
            <w:tcW w:w="8812" w:type="dxa"/>
            <w:shd w:val="clear" w:color="auto" w:fill="DAEEF3" w:themeFill="accent5" w:themeFillTint="33"/>
          </w:tcPr>
          <w:p w:rsidR="00B24908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Poinformowanie mieszkańców o ogłoszonym konkursie i terminach przyjmowania wniosków</w:t>
            </w:r>
          </w:p>
          <w:p w:rsidR="00B24908" w:rsidRPr="002C2F8F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7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Kampania informacyjno-promocyjna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:rsidR="00B24908" w:rsidRPr="004D1E37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4D1E37">
              <w:rPr>
                <w:rFonts w:ascii="Times New Roman" w:hAnsi="Times New Roman" w:cs="Times New Roman"/>
                <w:color w:val="FF0000"/>
              </w:rPr>
              <w:t xml:space="preserve"> 1 000,00 zł</w:t>
            </w:r>
          </w:p>
        </w:tc>
      </w:tr>
      <w:tr w:rsidR="00B24908" w:rsidRPr="002C2F8F" w:rsidTr="00B24908">
        <w:trPr>
          <w:jc w:val="center"/>
        </w:trPr>
        <w:tc>
          <w:tcPr>
            <w:tcW w:w="8812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Informowanie o zasadach przyznawania pomocy w ramach poszczególnych typów operacji, zasadach rozliczania i realizacji projektów</w:t>
            </w:r>
          </w:p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4908" w:rsidRDefault="00B24908" w:rsidP="0080573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7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Spotkania nt. zasad oceniania i wyboru operacji przez LGD, Warsztaty tematyczne, Badanie satysfakcji i jakości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:rsidR="00B24908" w:rsidRPr="004D1E37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4D1E37">
              <w:rPr>
                <w:rFonts w:ascii="Times New Roman" w:hAnsi="Times New Roman" w:cs="Times New Roman"/>
                <w:color w:val="FF0000"/>
              </w:rPr>
              <w:t>50 000,00 zł</w:t>
            </w:r>
          </w:p>
        </w:tc>
      </w:tr>
      <w:tr w:rsidR="00B24908" w:rsidRPr="002C2F8F" w:rsidTr="00B24908">
        <w:trPr>
          <w:jc w:val="center"/>
        </w:trPr>
        <w:tc>
          <w:tcPr>
            <w:tcW w:w="8812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Poinformowanie mieszkańców i wnioskodawców o wynikach konkursu</w:t>
            </w:r>
          </w:p>
        </w:tc>
        <w:tc>
          <w:tcPr>
            <w:tcW w:w="3097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Kampania informacyjna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:rsidR="00B24908" w:rsidRPr="004D1E37" w:rsidRDefault="00B24908" w:rsidP="00805733">
            <w:pPr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4D1E37">
              <w:rPr>
                <w:rFonts w:ascii="Times New Roman" w:hAnsi="Times New Roman" w:cs="Times New Roman"/>
                <w:color w:val="FF0000"/>
              </w:rPr>
              <w:t xml:space="preserve">0,00 zł </w:t>
            </w:r>
          </w:p>
        </w:tc>
      </w:tr>
      <w:tr w:rsidR="00B24908" w:rsidRPr="002C2F8F" w:rsidTr="00B24908">
        <w:trPr>
          <w:jc w:val="center"/>
        </w:trPr>
        <w:tc>
          <w:tcPr>
            <w:tcW w:w="8812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915878">
              <w:rPr>
                <w:rFonts w:ascii="Times New Roman" w:hAnsi="Times New Roman" w:cs="Times New Roman"/>
                <w:color w:val="000000" w:themeColor="text1"/>
              </w:rPr>
              <w:t>oznanie opinii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 </w:t>
            </w:r>
            <w:r w:rsidRPr="00915878">
              <w:rPr>
                <w:rFonts w:ascii="Times New Roman" w:hAnsi="Times New Roman" w:cs="Times New Roman"/>
                <w:color w:val="000000" w:themeColor="text1"/>
              </w:rPr>
              <w:t>jakości działań podejmowanych przez LGD i usług doradczych świadczonych przez pracowników biura</w:t>
            </w:r>
          </w:p>
        </w:tc>
        <w:tc>
          <w:tcPr>
            <w:tcW w:w="3097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Badanie satysfakcji i jakości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:rsidR="00B24908" w:rsidRPr="004D1E37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4D1E37">
              <w:rPr>
                <w:rFonts w:ascii="Times New Roman" w:hAnsi="Times New Roman" w:cs="Times New Roman"/>
                <w:color w:val="FF0000"/>
              </w:rPr>
              <w:t>0,00 zł</w:t>
            </w:r>
          </w:p>
        </w:tc>
      </w:tr>
      <w:tr w:rsidR="00B24908" w:rsidRPr="002C2F8F" w:rsidTr="00B24908">
        <w:trPr>
          <w:jc w:val="center"/>
        </w:trPr>
        <w:tc>
          <w:tcPr>
            <w:tcW w:w="8812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Poinformowanie o zmianach w LSR dotyczących np. zmiany kryteriów oceny </w:t>
            </w:r>
          </w:p>
        </w:tc>
        <w:tc>
          <w:tcPr>
            <w:tcW w:w="3097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Informacja internetowa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:rsidR="00B24908" w:rsidRPr="004D1E37" w:rsidRDefault="00B24908" w:rsidP="00805733">
            <w:pPr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4D1E37">
              <w:rPr>
                <w:rFonts w:ascii="Times New Roman" w:hAnsi="Times New Roman" w:cs="Times New Roman"/>
                <w:color w:val="FF0000"/>
              </w:rPr>
              <w:t>0,00 zł</w:t>
            </w:r>
          </w:p>
        </w:tc>
      </w:tr>
      <w:tr w:rsidR="00B24908" w:rsidRPr="002C2F8F" w:rsidTr="00B24908">
        <w:trPr>
          <w:jc w:val="center"/>
        </w:trPr>
        <w:tc>
          <w:tcPr>
            <w:tcW w:w="8812" w:type="dxa"/>
            <w:shd w:val="clear" w:color="auto" w:fill="DAEEF3" w:themeFill="accent5" w:themeFillTint="33"/>
          </w:tcPr>
          <w:p w:rsidR="00B24908" w:rsidRPr="002C2F8F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Poinformowanie o efektach wdrażania LSR</w:t>
            </w:r>
          </w:p>
        </w:tc>
        <w:tc>
          <w:tcPr>
            <w:tcW w:w="3097" w:type="dxa"/>
            <w:shd w:val="clear" w:color="auto" w:fill="DAEEF3" w:themeFill="accent5" w:themeFillTint="33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Kampania informacyjno-promocyjna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:rsidR="00B24908" w:rsidRPr="004D1E37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4D1E37">
              <w:rPr>
                <w:rFonts w:ascii="Times New Roman" w:hAnsi="Times New Roman" w:cs="Times New Roman"/>
                <w:color w:val="FF0000"/>
              </w:rPr>
              <w:t>20 000,00 zł</w:t>
            </w:r>
          </w:p>
        </w:tc>
      </w:tr>
      <w:tr w:rsidR="00B24908" w:rsidRPr="002C2F8F" w:rsidTr="00B24908">
        <w:trPr>
          <w:jc w:val="center"/>
        </w:trPr>
        <w:tc>
          <w:tcPr>
            <w:tcW w:w="11909" w:type="dxa"/>
            <w:gridSpan w:val="2"/>
            <w:shd w:val="clear" w:color="auto" w:fill="31849B" w:themeFill="accent5" w:themeFillShade="BF"/>
          </w:tcPr>
          <w:p w:rsidR="00B24908" w:rsidRDefault="00B24908" w:rsidP="00805733">
            <w:pPr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shd w:val="clear" w:color="auto" w:fill="DAEEF3" w:themeFill="accent5" w:themeFillTint="33"/>
          </w:tcPr>
          <w:p w:rsidR="00B24908" w:rsidRPr="004D1E37" w:rsidRDefault="00B24908" w:rsidP="00805733">
            <w:pPr>
              <w:spacing w:before="240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4D1E37">
              <w:rPr>
                <w:rFonts w:ascii="Times New Roman" w:hAnsi="Times New Roman" w:cs="Times New Roman"/>
                <w:color w:val="FF0000"/>
              </w:rPr>
              <w:t>334 500,00</w:t>
            </w:r>
          </w:p>
        </w:tc>
      </w:tr>
    </w:tbl>
    <w:p w:rsidR="00B24908" w:rsidRPr="002C2F8F" w:rsidRDefault="00B24908" w:rsidP="00B24908">
      <w:pPr>
        <w:spacing w:line="240" w:lineRule="auto"/>
        <w:jc w:val="both"/>
        <w:outlineLvl w:val="0"/>
        <w:rPr>
          <w:rFonts w:ascii="Times New Roman" w:hAnsi="Times New Roman" w:cs="Times New Roman"/>
          <w:color w:val="76923C" w:themeColor="accent3" w:themeShade="BF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</w:p>
    <w:p w:rsidR="00866765" w:rsidRPr="0056097E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-Bold" w:hAnsi="Tahoma-Bold" w:cs="Tahoma-Bold"/>
          <w:b/>
          <w:bCs/>
          <w:color w:val="164295"/>
          <w:sz w:val="16"/>
        </w:rPr>
      </w:pPr>
      <w:r w:rsidRPr="0056097E">
        <w:rPr>
          <w:rFonts w:ascii="Tahoma-Bold" w:hAnsi="Tahoma-Bold" w:cs="Tahoma-Bold"/>
          <w:b/>
          <w:bCs/>
          <w:color w:val="164295"/>
          <w:sz w:val="16"/>
        </w:rPr>
        <w:t>„Europejski Fundusz Rolny na rzecz Rozwoju Obszarów Wiejskich: Europa inwestująca w obszary wiejskie”.</w:t>
      </w:r>
    </w:p>
    <w:p w:rsidR="00866765" w:rsidRPr="0056097E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sz w:val="16"/>
        </w:rPr>
      </w:pPr>
      <w:r w:rsidRPr="0056097E">
        <w:rPr>
          <w:rFonts w:ascii="Tahoma" w:hAnsi="Tahoma" w:cs="Tahoma"/>
          <w:sz w:val="16"/>
        </w:rPr>
        <w:t xml:space="preserve">Lokalna </w:t>
      </w:r>
      <w:proofErr w:type="spellStart"/>
      <w:r w:rsidRPr="0056097E">
        <w:rPr>
          <w:rFonts w:ascii="Tahoma" w:hAnsi="Tahoma" w:cs="Tahoma"/>
          <w:sz w:val="16"/>
        </w:rPr>
        <w:t>grupa</w:t>
      </w:r>
      <w:proofErr w:type="spellEnd"/>
      <w:r w:rsidRPr="0056097E">
        <w:rPr>
          <w:rFonts w:ascii="Tahoma" w:hAnsi="Tahoma" w:cs="Tahoma"/>
          <w:sz w:val="16"/>
        </w:rPr>
        <w:t xml:space="preserve"> </w:t>
      </w:r>
      <w:proofErr w:type="spellStart"/>
      <w:r w:rsidRPr="0056097E">
        <w:rPr>
          <w:rFonts w:ascii="Tahoma" w:hAnsi="Tahoma" w:cs="Tahoma"/>
          <w:sz w:val="16"/>
        </w:rPr>
        <w:t>działania</w:t>
      </w:r>
      <w:proofErr w:type="spellEnd"/>
      <w:r w:rsidRPr="0056097E">
        <w:rPr>
          <w:rFonts w:ascii="Tahoma" w:hAnsi="Tahoma" w:cs="Tahoma"/>
          <w:sz w:val="16"/>
        </w:rPr>
        <w:t xml:space="preserve">: Stowarzyszenie Lokalna Grupa Działania Szlak Tatarski współfinansowana </w:t>
      </w:r>
    </w:p>
    <w:p w:rsidR="00866765" w:rsidRPr="0056097E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sz w:val="16"/>
        </w:rPr>
      </w:pPr>
      <w:r w:rsidRPr="0056097E">
        <w:rPr>
          <w:rFonts w:ascii="Tahoma" w:hAnsi="Tahoma" w:cs="Tahoma"/>
          <w:sz w:val="16"/>
        </w:rPr>
        <w:t xml:space="preserve">jest ze środków Unii Europejskiej w ramach </w:t>
      </w:r>
      <w:proofErr w:type="spellStart"/>
      <w:r w:rsidRPr="0056097E">
        <w:rPr>
          <w:rFonts w:ascii="Tahoma" w:hAnsi="Tahoma" w:cs="Tahoma"/>
          <w:sz w:val="16"/>
        </w:rPr>
        <w:t>działania</w:t>
      </w:r>
      <w:proofErr w:type="spellEnd"/>
    </w:p>
    <w:p w:rsidR="00866765" w:rsidRPr="0056097E" w:rsidRDefault="00866765" w:rsidP="008667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sz w:val="16"/>
        </w:rPr>
      </w:pPr>
      <w:r w:rsidRPr="0056097E">
        <w:rPr>
          <w:rFonts w:ascii="Tahoma" w:hAnsi="Tahoma" w:cs="Tahoma"/>
          <w:sz w:val="16"/>
        </w:rPr>
        <w:t>„Wsparcie dla rozwoju lokalnego w ramach inicjatywy LEADER”</w:t>
      </w:r>
    </w:p>
    <w:p w:rsidR="00724768" w:rsidRPr="00866765" w:rsidRDefault="00866765" w:rsidP="00866765">
      <w:pPr>
        <w:pStyle w:val="Stopka"/>
        <w:contextualSpacing/>
        <w:jc w:val="center"/>
        <w:rPr>
          <w:rFonts w:ascii="Tahoma" w:hAnsi="Tahoma" w:cs="Tahoma"/>
          <w:sz w:val="16"/>
        </w:rPr>
      </w:pPr>
      <w:r w:rsidRPr="0056097E">
        <w:rPr>
          <w:rFonts w:ascii="Tahoma" w:hAnsi="Tahoma" w:cs="Tahoma"/>
          <w:sz w:val="16"/>
        </w:rPr>
        <w:t>Programu Rozwoju Obszarów Wiejskich na lata 2014-2020.</w:t>
      </w:r>
    </w:p>
    <w:sectPr w:rsidR="00724768" w:rsidRPr="00866765" w:rsidSect="00D66B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41" w:rsidRDefault="00E72241" w:rsidP="00D66B9E">
      <w:pPr>
        <w:spacing w:after="0" w:line="240" w:lineRule="auto"/>
      </w:pPr>
      <w:r>
        <w:separator/>
      </w:r>
    </w:p>
  </w:endnote>
  <w:endnote w:type="continuationSeparator" w:id="0">
    <w:p w:rsidR="00E72241" w:rsidRDefault="00E72241" w:rsidP="00D6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41" w:rsidRDefault="00E72241" w:rsidP="00D66B9E">
      <w:pPr>
        <w:spacing w:after="0" w:line="240" w:lineRule="auto"/>
      </w:pPr>
      <w:r>
        <w:separator/>
      </w:r>
    </w:p>
  </w:footnote>
  <w:footnote w:type="continuationSeparator" w:id="0">
    <w:p w:rsidR="00E72241" w:rsidRDefault="00E72241" w:rsidP="00D6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62" w:rsidRDefault="007247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-135255</wp:posOffset>
          </wp:positionV>
          <wp:extent cx="914400" cy="488315"/>
          <wp:effectExtent l="19050" t="0" r="0" b="0"/>
          <wp:wrapThrough wrapText="bothSides">
            <wp:wrapPolygon edited="0">
              <wp:start x="-450" y="0"/>
              <wp:lineTo x="-450" y="21066"/>
              <wp:lineTo x="21600" y="21066"/>
              <wp:lineTo x="21600" y="0"/>
              <wp:lineTo x="-450" y="0"/>
            </wp:wrapPolygon>
          </wp:wrapThrough>
          <wp:docPr id="2" name="Obraz 1" descr="prow_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_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B9E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7586980</wp:posOffset>
          </wp:positionH>
          <wp:positionV relativeFrom="paragraph">
            <wp:posOffset>-173355</wp:posOffset>
          </wp:positionV>
          <wp:extent cx="800100" cy="511810"/>
          <wp:effectExtent l="19050" t="0" r="0" b="0"/>
          <wp:wrapThrough wrapText="bothSides">
            <wp:wrapPolygon edited="0">
              <wp:start x="-514" y="0"/>
              <wp:lineTo x="-514" y="20903"/>
              <wp:lineTo x="21600" y="20903"/>
              <wp:lineTo x="21600" y="0"/>
              <wp:lineTo x="-514" y="0"/>
            </wp:wrapPolygon>
          </wp:wrapThrough>
          <wp:docPr id="1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B9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-135890</wp:posOffset>
          </wp:positionV>
          <wp:extent cx="428625" cy="428625"/>
          <wp:effectExtent l="19050" t="0" r="9525" b="0"/>
          <wp:wrapThrough wrapText="bothSides">
            <wp:wrapPolygon edited="0">
              <wp:start x="-960" y="0"/>
              <wp:lineTo x="-960" y="21120"/>
              <wp:lineTo x="22080" y="21120"/>
              <wp:lineTo x="22080" y="0"/>
              <wp:lineTo x="-960" y="0"/>
            </wp:wrapPolygon>
          </wp:wrapThrough>
          <wp:docPr id="9" name="Obraz 0" descr="Logo_Leader07-1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ader07-13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B9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-135255</wp:posOffset>
          </wp:positionV>
          <wp:extent cx="1403985" cy="447675"/>
          <wp:effectExtent l="19050" t="0" r="5715" b="0"/>
          <wp:wrapThrough wrapText="bothSides">
            <wp:wrapPolygon edited="0">
              <wp:start x="1172" y="0"/>
              <wp:lineTo x="-293" y="3677"/>
              <wp:lineTo x="0" y="17464"/>
              <wp:lineTo x="2638" y="21140"/>
              <wp:lineTo x="4982" y="21140"/>
              <wp:lineTo x="7913" y="21140"/>
              <wp:lineTo x="11137" y="21140"/>
              <wp:lineTo x="19929" y="16545"/>
              <wp:lineTo x="19636" y="14706"/>
              <wp:lineTo x="21688" y="12868"/>
              <wp:lineTo x="20809" y="919"/>
              <wp:lineTo x="5275" y="0"/>
              <wp:lineTo x="1172" y="0"/>
            </wp:wrapPolygon>
          </wp:wrapThrough>
          <wp:docPr id="5" name="Obraz 2" descr="szlak tatarsk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ak tatarski 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0398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5056">
      <w:tab/>
    </w:r>
    <w:r w:rsidR="004E505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83D"/>
    <w:multiLevelType w:val="hybridMultilevel"/>
    <w:tmpl w:val="28A461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7D06"/>
    <w:multiLevelType w:val="hybridMultilevel"/>
    <w:tmpl w:val="AAA2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1065"/>
    <w:multiLevelType w:val="hybridMultilevel"/>
    <w:tmpl w:val="A2620456"/>
    <w:lvl w:ilvl="0" w:tplc="8AD0E89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A63F4"/>
    <w:multiLevelType w:val="hybridMultilevel"/>
    <w:tmpl w:val="84E248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1423B"/>
    <w:multiLevelType w:val="multilevel"/>
    <w:tmpl w:val="31B2CE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7D12EE"/>
    <w:multiLevelType w:val="hybridMultilevel"/>
    <w:tmpl w:val="8B6AEF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D5886"/>
    <w:multiLevelType w:val="hybridMultilevel"/>
    <w:tmpl w:val="92229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02823"/>
    <w:multiLevelType w:val="hybridMultilevel"/>
    <w:tmpl w:val="FB521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C0C74"/>
    <w:multiLevelType w:val="multilevel"/>
    <w:tmpl w:val="050C12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4E1039A"/>
    <w:multiLevelType w:val="hybridMultilevel"/>
    <w:tmpl w:val="97564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D27CF"/>
    <w:multiLevelType w:val="hybridMultilevel"/>
    <w:tmpl w:val="3EAA9352"/>
    <w:lvl w:ilvl="0" w:tplc="D03E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C6A93"/>
    <w:multiLevelType w:val="hybridMultilevel"/>
    <w:tmpl w:val="D5187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C1F10"/>
    <w:multiLevelType w:val="hybridMultilevel"/>
    <w:tmpl w:val="E08291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136C6"/>
    <w:multiLevelType w:val="hybridMultilevel"/>
    <w:tmpl w:val="18BE75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546AD"/>
    <w:multiLevelType w:val="hybridMultilevel"/>
    <w:tmpl w:val="3B9E7B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F35D6"/>
    <w:multiLevelType w:val="hybridMultilevel"/>
    <w:tmpl w:val="05A2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36200"/>
    <w:multiLevelType w:val="multilevel"/>
    <w:tmpl w:val="C5D4E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66B9E"/>
    <w:rsid w:val="001C1801"/>
    <w:rsid w:val="00444C7E"/>
    <w:rsid w:val="00452BDF"/>
    <w:rsid w:val="004E5056"/>
    <w:rsid w:val="004F6658"/>
    <w:rsid w:val="00724768"/>
    <w:rsid w:val="00866765"/>
    <w:rsid w:val="00960DF1"/>
    <w:rsid w:val="00A43F41"/>
    <w:rsid w:val="00B24908"/>
    <w:rsid w:val="00C62F08"/>
    <w:rsid w:val="00D66B9E"/>
    <w:rsid w:val="00E72241"/>
    <w:rsid w:val="00FC5C8B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B9E"/>
  </w:style>
  <w:style w:type="paragraph" w:styleId="Stopka">
    <w:name w:val="footer"/>
    <w:basedOn w:val="Normalny"/>
    <w:link w:val="StopkaZnak"/>
    <w:uiPriority w:val="99"/>
    <w:unhideWhenUsed/>
    <w:rsid w:val="00D6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9E"/>
  </w:style>
  <w:style w:type="paragraph" w:styleId="Akapitzlist">
    <w:name w:val="List Paragraph"/>
    <w:basedOn w:val="Normalny"/>
    <w:qFormat/>
    <w:rsid w:val="00D66B9E"/>
    <w:pPr>
      <w:ind w:left="720"/>
      <w:contextualSpacing/>
    </w:pPr>
  </w:style>
  <w:style w:type="table" w:styleId="Tabela-Siatka">
    <w:name w:val="Table Grid"/>
    <w:basedOn w:val="Standardowy"/>
    <w:uiPriority w:val="59"/>
    <w:rsid w:val="00D6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C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9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249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49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2998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2015-12-03T12:46:00Z</dcterms:created>
  <dcterms:modified xsi:type="dcterms:W3CDTF">2015-12-03T12:46:00Z</dcterms:modified>
</cp:coreProperties>
</file>